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9019E" w:rsidRPr="006556E6" w:rsidRDefault="0069019E" w:rsidP="0069019E">
      <w:pPr>
        <w:spacing w:before="240" w:after="240" w:line="360" w:lineRule="auto"/>
        <w:jc w:val="both"/>
        <w:rPr>
          <w:rFonts w:ascii="Palatino Linotype" w:hAnsi="Palatino Linotype" w:cs="Arial"/>
        </w:rPr>
      </w:pPr>
      <w:r w:rsidRPr="006556E6">
        <w:rPr>
          <w:rFonts w:ascii="Palatino Linotype" w:hAnsi="Palatino Linotype"/>
        </w:rPr>
        <w:t>Resolución del Pleno del Instituto de Transparencia, Acceso a la Información Pública y Protección de Datos Personales del Estado de México y Municipios, con domicilio en Metepec, Estado de México</w:t>
      </w:r>
      <w:r w:rsidRPr="006472EE">
        <w:rPr>
          <w:rStyle w:val="normaltextrun"/>
          <w:rFonts w:ascii="Palatino Linotype" w:hAnsi="Palatino Linotype" w:cs="Arial"/>
        </w:rPr>
        <w:t>,</w:t>
      </w:r>
      <w:r w:rsidRPr="006472EE">
        <w:rPr>
          <w:rStyle w:val="apple-converted-space"/>
          <w:rFonts w:ascii="Palatino Linotype" w:hAnsi="Palatino Linotype" w:cs="Arial"/>
        </w:rPr>
        <w:t> </w:t>
      </w:r>
      <w:r w:rsidR="00F208D1">
        <w:rPr>
          <w:rStyle w:val="apple-converted-space"/>
          <w:rFonts w:ascii="Palatino Linotype" w:hAnsi="Palatino Linotype" w:cs="Arial"/>
        </w:rPr>
        <w:t xml:space="preserve">de fecha </w:t>
      </w:r>
      <w:r w:rsidR="00352C44">
        <w:rPr>
          <w:rStyle w:val="normaltextrun"/>
          <w:rFonts w:ascii="Palatino Linotype" w:hAnsi="Palatino Linotype" w:cs="Arial"/>
        </w:rPr>
        <w:t>treinta de enero d</w:t>
      </w:r>
      <w:r w:rsidRPr="006556E6">
        <w:rPr>
          <w:rStyle w:val="normaltextrun"/>
          <w:rFonts w:ascii="Palatino Linotype" w:hAnsi="Palatino Linotype" w:cs="Arial"/>
        </w:rPr>
        <w:t>e dos mil dieci</w:t>
      </w:r>
      <w:r w:rsidR="00352C44">
        <w:rPr>
          <w:rStyle w:val="normaltextrun"/>
          <w:rFonts w:ascii="Palatino Linotype" w:hAnsi="Palatino Linotype" w:cs="Arial"/>
        </w:rPr>
        <w:t>nueve</w:t>
      </w:r>
      <w:r w:rsidRPr="006556E6">
        <w:rPr>
          <w:rStyle w:val="normaltextrun"/>
          <w:rFonts w:ascii="Palatino Linotype" w:hAnsi="Palatino Linotype" w:cs="Arial"/>
        </w:rPr>
        <w:t>.</w:t>
      </w:r>
    </w:p>
    <w:p w:rsidR="0069019E" w:rsidRPr="006556E6" w:rsidRDefault="0069019E" w:rsidP="0069019E">
      <w:pPr>
        <w:spacing w:before="240" w:after="240" w:line="360" w:lineRule="auto"/>
        <w:jc w:val="both"/>
        <w:rPr>
          <w:rFonts w:ascii="Palatino Linotype" w:hAnsi="Palatino Linotype" w:cs="Arial"/>
        </w:rPr>
      </w:pPr>
      <w:r>
        <w:rPr>
          <w:rFonts w:ascii="Palatino Linotype" w:hAnsi="Palatino Linotype" w:cs="Arial"/>
          <w:b/>
        </w:rPr>
        <w:t>Visto</w:t>
      </w:r>
      <w:r w:rsidRPr="006556E6">
        <w:rPr>
          <w:rFonts w:ascii="Palatino Linotype" w:hAnsi="Palatino Linotype" w:cs="Arial"/>
          <w:b/>
        </w:rPr>
        <w:t xml:space="preserve"> </w:t>
      </w:r>
      <w:r>
        <w:rPr>
          <w:rFonts w:ascii="Palatino Linotype" w:hAnsi="Palatino Linotype" w:cs="Arial"/>
        </w:rPr>
        <w:t>el expediente relativo al recurso</w:t>
      </w:r>
      <w:r w:rsidRPr="006556E6">
        <w:rPr>
          <w:rFonts w:ascii="Palatino Linotype" w:hAnsi="Palatino Linotype" w:cs="Arial"/>
        </w:rPr>
        <w:t xml:space="preserve"> de revisión </w:t>
      </w:r>
      <w:r w:rsidRPr="006556E6">
        <w:rPr>
          <w:rFonts w:ascii="Palatino Linotype" w:hAnsi="Palatino Linotype" w:cs="Arial"/>
          <w:b/>
          <w:bCs/>
        </w:rPr>
        <w:t>0</w:t>
      </w:r>
      <w:r w:rsidR="00352C44">
        <w:rPr>
          <w:rFonts w:ascii="Palatino Linotype" w:hAnsi="Palatino Linotype" w:cs="Arial"/>
          <w:b/>
          <w:bCs/>
        </w:rPr>
        <w:t>4414</w:t>
      </w:r>
      <w:r>
        <w:rPr>
          <w:rFonts w:ascii="Palatino Linotype" w:hAnsi="Palatino Linotype" w:cs="Arial"/>
          <w:b/>
          <w:bCs/>
        </w:rPr>
        <w:t>/INFOEM/IP/RR/2018</w:t>
      </w:r>
      <w:r>
        <w:rPr>
          <w:rFonts w:ascii="Palatino Linotype" w:hAnsi="Palatino Linotype" w:cs="Arial"/>
        </w:rPr>
        <w:t>, interpuesto</w:t>
      </w:r>
      <w:r w:rsidRPr="006556E6">
        <w:rPr>
          <w:rFonts w:ascii="Palatino Linotype" w:hAnsi="Palatino Linotype" w:cs="Arial"/>
        </w:rPr>
        <w:t xml:space="preserve"> por </w:t>
      </w:r>
      <w:r w:rsidR="000869CD" w:rsidRPr="000869CD">
        <w:rPr>
          <w:rFonts w:ascii="Palatino Linotype" w:hAnsi="Palatino Linotype" w:cs="Arial"/>
          <w:b/>
          <w:lang w:val="es-ES_tradnl"/>
        </w:rPr>
        <w:t>XXXXXXX XXXXXXXXX XXXXX XXXXXX</w:t>
      </w:r>
      <w:bookmarkStart w:id="0" w:name="_GoBack"/>
      <w:bookmarkEnd w:id="0"/>
      <w:r w:rsidRPr="006556E6">
        <w:rPr>
          <w:rFonts w:ascii="Palatino Linotype" w:hAnsi="Palatino Linotype" w:cs="Arial"/>
        </w:rPr>
        <w:t xml:space="preserve">, en lo sucesivo el </w:t>
      </w:r>
      <w:r w:rsidRPr="006556E6">
        <w:rPr>
          <w:rFonts w:ascii="Palatino Linotype" w:hAnsi="Palatino Linotype" w:cs="Arial"/>
          <w:b/>
        </w:rPr>
        <w:t>recurrente</w:t>
      </w:r>
      <w:r w:rsidRPr="006556E6">
        <w:rPr>
          <w:rFonts w:ascii="Palatino Linotype" w:hAnsi="Palatino Linotype" w:cs="Arial"/>
        </w:rPr>
        <w:t xml:space="preserve"> en contra de la </w:t>
      </w:r>
      <w:r w:rsidR="00211B41">
        <w:rPr>
          <w:rFonts w:ascii="Palatino Linotype" w:hAnsi="Palatino Linotype" w:cs="Arial"/>
        </w:rPr>
        <w:t xml:space="preserve">falta de </w:t>
      </w:r>
      <w:r w:rsidRPr="006556E6">
        <w:rPr>
          <w:rFonts w:ascii="Palatino Linotype" w:hAnsi="Palatino Linotype" w:cs="Arial"/>
        </w:rPr>
        <w:t xml:space="preserve">respuesta </w:t>
      </w:r>
      <w:r>
        <w:rPr>
          <w:rFonts w:ascii="Palatino Linotype" w:hAnsi="Palatino Linotype" w:cs="Arial"/>
        </w:rPr>
        <w:t>a la solicitud de información con número</w:t>
      </w:r>
      <w:r w:rsidRPr="006556E6">
        <w:rPr>
          <w:rFonts w:ascii="Palatino Linotype" w:hAnsi="Palatino Linotype" w:cs="Arial"/>
        </w:rPr>
        <w:t xml:space="preserve"> de folio </w:t>
      </w:r>
      <w:r w:rsidRPr="006556E6">
        <w:rPr>
          <w:rFonts w:ascii="Palatino Linotype" w:hAnsi="Palatino Linotype" w:cs="Arial"/>
          <w:b/>
        </w:rPr>
        <w:t>00</w:t>
      </w:r>
      <w:r w:rsidR="00015ABF">
        <w:rPr>
          <w:rFonts w:ascii="Palatino Linotype" w:hAnsi="Palatino Linotype" w:cs="Arial"/>
          <w:b/>
        </w:rPr>
        <w:t>023</w:t>
      </w:r>
      <w:r w:rsidRPr="006556E6">
        <w:rPr>
          <w:rFonts w:ascii="Palatino Linotype" w:hAnsi="Palatino Linotype" w:cs="Arial"/>
          <w:b/>
        </w:rPr>
        <w:t>/</w:t>
      </w:r>
      <w:r w:rsidR="00015ABF">
        <w:rPr>
          <w:rFonts w:ascii="Palatino Linotype" w:hAnsi="Palatino Linotype" w:cs="Arial"/>
          <w:b/>
        </w:rPr>
        <w:t>ISIFABE</w:t>
      </w:r>
      <w:r>
        <w:rPr>
          <w:rFonts w:ascii="Palatino Linotype" w:hAnsi="Palatino Linotype" w:cs="Arial"/>
          <w:b/>
        </w:rPr>
        <w:t>/IP/2018</w:t>
      </w:r>
      <w:r w:rsidRPr="006556E6">
        <w:rPr>
          <w:rFonts w:ascii="Palatino Linotype" w:hAnsi="Palatino Linotype" w:cs="Arial"/>
        </w:rPr>
        <w:t xml:space="preserve">, por parte del </w:t>
      </w:r>
      <w:r>
        <w:rPr>
          <w:rFonts w:ascii="Palatino Linotype" w:hAnsi="Palatino Linotype" w:cs="Arial"/>
          <w:b/>
        </w:rPr>
        <w:t xml:space="preserve">Ayuntamiento de </w:t>
      </w:r>
      <w:r w:rsidR="00015ABF">
        <w:rPr>
          <w:rFonts w:ascii="Palatino Linotype" w:hAnsi="Palatino Linotype" w:cs="Arial"/>
          <w:b/>
        </w:rPr>
        <w:t>Isidro Fabela</w:t>
      </w:r>
      <w:r w:rsidRPr="006556E6">
        <w:rPr>
          <w:rFonts w:ascii="Palatino Linotype" w:hAnsi="Palatino Linotype" w:cs="Arial"/>
        </w:rPr>
        <w:t xml:space="preserve">, en lo sucesivo el </w:t>
      </w:r>
      <w:r w:rsidRPr="006556E6">
        <w:rPr>
          <w:rFonts w:ascii="Palatino Linotype" w:hAnsi="Palatino Linotype" w:cs="Arial"/>
          <w:b/>
        </w:rPr>
        <w:t xml:space="preserve">Sujeto Obligado; </w:t>
      </w:r>
      <w:r w:rsidRPr="006556E6">
        <w:rPr>
          <w:rFonts w:ascii="Palatino Linotype" w:hAnsi="Palatino Linotype" w:cs="Arial"/>
        </w:rPr>
        <w:t>se procede a dictar la presente resolución, con base en lo siguiente.</w:t>
      </w:r>
    </w:p>
    <w:p w:rsidR="0069019E" w:rsidRPr="006556E6" w:rsidRDefault="0069019E" w:rsidP="0069019E">
      <w:pPr>
        <w:pStyle w:val="Prrafodelista"/>
        <w:numPr>
          <w:ilvl w:val="0"/>
          <w:numId w:val="1"/>
        </w:numPr>
        <w:spacing w:before="240" w:after="240" w:line="360" w:lineRule="auto"/>
        <w:ind w:left="1077"/>
        <w:contextualSpacing/>
        <w:jc w:val="center"/>
        <w:rPr>
          <w:rFonts w:ascii="Palatino Linotype" w:hAnsi="Palatino Linotype" w:cs="Arial"/>
          <w:b/>
          <w:sz w:val="24"/>
          <w:szCs w:val="24"/>
        </w:rPr>
      </w:pPr>
      <w:r w:rsidRPr="006556E6">
        <w:rPr>
          <w:rFonts w:ascii="Palatino Linotype" w:hAnsi="Palatino Linotype" w:cs="Arial"/>
          <w:b/>
          <w:sz w:val="24"/>
          <w:szCs w:val="24"/>
        </w:rPr>
        <w:t>A N T E C E D E N T E S:</w:t>
      </w:r>
    </w:p>
    <w:p w:rsidR="00352C44" w:rsidRPr="00762916" w:rsidRDefault="00352C44" w:rsidP="00352C44">
      <w:pPr>
        <w:spacing w:before="240" w:after="240" w:line="360" w:lineRule="auto"/>
        <w:jc w:val="both"/>
        <w:rPr>
          <w:rFonts w:ascii="Palatino Linotype" w:hAnsi="Palatino Linotype" w:cs="Arial"/>
          <w:b/>
        </w:rPr>
      </w:pPr>
      <w:r w:rsidRPr="00D908FB">
        <w:rPr>
          <w:rFonts w:ascii="Palatino Linotype" w:hAnsi="Palatino Linotype" w:cs="Arial"/>
          <w:b/>
        </w:rPr>
        <w:t xml:space="preserve">1. Solicitud de acceso a la información. </w:t>
      </w:r>
      <w:r w:rsidRPr="00D908FB">
        <w:rPr>
          <w:rFonts w:ascii="Palatino Linotype" w:hAnsi="Palatino Linotype" w:cs="Arial"/>
        </w:rPr>
        <w:t xml:space="preserve">Con fecha </w:t>
      </w:r>
      <w:r w:rsidR="00015ABF">
        <w:rPr>
          <w:rFonts w:ascii="Palatino Linotype" w:hAnsi="Palatino Linotype" w:cs="Arial"/>
        </w:rPr>
        <w:t xml:space="preserve">doce de octubre </w:t>
      </w:r>
      <w:r w:rsidRPr="00D908FB">
        <w:rPr>
          <w:rFonts w:ascii="Palatino Linotype" w:hAnsi="Palatino Linotype" w:cs="Arial"/>
        </w:rPr>
        <w:t xml:space="preserve">de dos mil </w:t>
      </w:r>
      <w:proofErr w:type="gramStart"/>
      <w:r w:rsidRPr="00D908FB">
        <w:rPr>
          <w:rFonts w:ascii="Palatino Linotype" w:hAnsi="Palatino Linotype" w:cs="Arial"/>
        </w:rPr>
        <w:t>dieci</w:t>
      </w:r>
      <w:r w:rsidR="00015ABF">
        <w:rPr>
          <w:rFonts w:ascii="Palatino Linotype" w:hAnsi="Palatino Linotype" w:cs="Arial"/>
        </w:rPr>
        <w:t>ocho</w:t>
      </w:r>
      <w:proofErr w:type="gramEnd"/>
      <w:r w:rsidRPr="00D908FB">
        <w:rPr>
          <w:rFonts w:ascii="Palatino Linotype" w:hAnsi="Palatino Linotype" w:cs="Arial"/>
        </w:rPr>
        <w:t xml:space="preserve">, la parte </w:t>
      </w:r>
      <w:r w:rsidRPr="00D908FB">
        <w:rPr>
          <w:rFonts w:ascii="Palatino Linotype" w:hAnsi="Palatino Linotype" w:cs="Arial"/>
          <w:b/>
        </w:rPr>
        <w:t>recurrente</w:t>
      </w:r>
      <w:r w:rsidRPr="00D908FB">
        <w:rPr>
          <w:rFonts w:ascii="Palatino Linotype" w:hAnsi="Palatino Linotype" w:cs="Arial"/>
        </w:rPr>
        <w:t xml:space="preserve"> formuló solicitud de acceso a información pública al </w:t>
      </w:r>
      <w:r w:rsidRPr="00D908FB">
        <w:rPr>
          <w:rFonts w:ascii="Palatino Linotype" w:hAnsi="Palatino Linotype" w:cs="Arial"/>
          <w:b/>
        </w:rPr>
        <w:t>Sujeto Obligado</w:t>
      </w:r>
      <w:r w:rsidRPr="00D908FB">
        <w:rPr>
          <w:rFonts w:ascii="Palatino Linotype" w:hAnsi="Palatino Linotype" w:cs="Arial"/>
        </w:rPr>
        <w:t xml:space="preserve"> a través del Sistema de Acceso a la Información Mexiquense, en adelante </w:t>
      </w:r>
      <w:r w:rsidRPr="00D908FB">
        <w:rPr>
          <w:rFonts w:ascii="Palatino Linotype" w:hAnsi="Palatino Linotype" w:cs="Arial"/>
          <w:b/>
        </w:rPr>
        <w:t>SAIMEX</w:t>
      </w:r>
      <w:r w:rsidR="00211B41" w:rsidRPr="00D908FB">
        <w:rPr>
          <w:rFonts w:ascii="Palatino Linotype" w:hAnsi="Palatino Linotype" w:cs="Arial"/>
          <w:b/>
        </w:rPr>
        <w:t>,</w:t>
      </w:r>
      <w:r w:rsidR="00211B41" w:rsidRPr="00D908FB">
        <w:rPr>
          <w:rFonts w:ascii="Palatino Linotype" w:hAnsi="Palatino Linotype" w:cs="Arial"/>
        </w:rPr>
        <w:t xml:space="preserve"> requiriéndole</w:t>
      </w:r>
      <w:r w:rsidRPr="00D908FB">
        <w:rPr>
          <w:rFonts w:ascii="Palatino Linotype" w:hAnsi="Palatino Linotype" w:cs="Arial"/>
        </w:rPr>
        <w:t xml:space="preserve"> lo siguiente:</w:t>
      </w:r>
    </w:p>
    <w:p w:rsidR="00352C44" w:rsidRPr="00D908FB" w:rsidRDefault="00352C44" w:rsidP="00352C44">
      <w:pPr>
        <w:pStyle w:val="Prrafodelista"/>
        <w:autoSpaceDE w:val="0"/>
        <w:autoSpaceDN w:val="0"/>
        <w:adjustRightInd w:val="0"/>
        <w:ind w:left="1077" w:right="1043"/>
        <w:jc w:val="both"/>
        <w:rPr>
          <w:rFonts w:ascii="Palatino Linotype" w:hAnsi="Palatino Linotype" w:cs="Arial"/>
          <w:i/>
        </w:rPr>
      </w:pPr>
      <w:r w:rsidRPr="00D908FB">
        <w:rPr>
          <w:rFonts w:ascii="Palatino Linotype" w:hAnsi="Palatino Linotype" w:cs="Arial"/>
          <w:i/>
        </w:rPr>
        <w:t>“</w:t>
      </w:r>
      <w:r w:rsidR="00015ABF" w:rsidRPr="00015ABF">
        <w:rPr>
          <w:rFonts w:ascii="Palatino Linotype" w:hAnsi="Palatino Linotype"/>
          <w:i/>
          <w:lang w:val="es-ES"/>
        </w:rPr>
        <w:t xml:space="preserve">Requiero información pública del </w:t>
      </w:r>
      <w:r w:rsidR="00015ABF" w:rsidRPr="00641593">
        <w:rPr>
          <w:rFonts w:ascii="Palatino Linotype" w:hAnsi="Palatino Linotype"/>
          <w:b/>
          <w:i/>
          <w:u w:val="single"/>
          <w:lang w:val="es-ES"/>
        </w:rPr>
        <w:t>salario bruto y neto mensual que percibe el PRESIDENTE MUNICIPAL, SINDICO Y REGIDORES del municipio de ISIDRO FABELA</w:t>
      </w:r>
      <w:r w:rsidR="00015ABF" w:rsidRPr="00015ABF">
        <w:rPr>
          <w:rFonts w:ascii="Palatino Linotype" w:hAnsi="Palatino Linotype"/>
          <w:i/>
          <w:lang w:val="es-ES"/>
        </w:rPr>
        <w:t>, esto con la finalidad de un trabajo de investigación de la Universidad</w:t>
      </w:r>
      <w:r w:rsidRPr="00D908FB">
        <w:rPr>
          <w:rFonts w:ascii="Palatino Linotype" w:hAnsi="Palatino Linotype"/>
          <w:i/>
        </w:rPr>
        <w:t>.</w:t>
      </w:r>
      <w:r w:rsidRPr="00D908FB">
        <w:rPr>
          <w:rFonts w:ascii="Palatino Linotype" w:hAnsi="Palatino Linotype" w:cs="Arial"/>
          <w:i/>
        </w:rPr>
        <w:t>” (</w:t>
      </w:r>
      <w:proofErr w:type="gramStart"/>
      <w:r w:rsidRPr="00D908FB">
        <w:rPr>
          <w:rFonts w:ascii="Palatino Linotype" w:hAnsi="Palatino Linotype" w:cs="Arial"/>
          <w:i/>
        </w:rPr>
        <w:t>sic</w:t>
      </w:r>
      <w:proofErr w:type="gramEnd"/>
      <w:r w:rsidRPr="00D908FB">
        <w:rPr>
          <w:rFonts w:ascii="Palatino Linotype" w:hAnsi="Palatino Linotype" w:cs="Arial"/>
          <w:i/>
        </w:rPr>
        <w:t>)</w:t>
      </w:r>
    </w:p>
    <w:p w:rsidR="00352C44" w:rsidRPr="00D908FB" w:rsidRDefault="00352C44" w:rsidP="00352C44">
      <w:pPr>
        <w:autoSpaceDE w:val="0"/>
        <w:autoSpaceDN w:val="0"/>
        <w:adjustRightInd w:val="0"/>
        <w:ind w:right="1043"/>
        <w:jc w:val="both"/>
        <w:rPr>
          <w:rFonts w:ascii="Palatino Linotype" w:hAnsi="Palatino Linotype" w:cs="Arial"/>
          <w:i/>
        </w:rPr>
      </w:pPr>
    </w:p>
    <w:p w:rsidR="00352C44" w:rsidRPr="00D908FB" w:rsidRDefault="00015ABF" w:rsidP="00352C44">
      <w:pPr>
        <w:spacing w:before="240" w:after="240" w:line="360" w:lineRule="auto"/>
        <w:jc w:val="both"/>
        <w:rPr>
          <w:rFonts w:ascii="Palatino Linotype" w:hAnsi="Palatino Linotype" w:cs="Arial"/>
        </w:rPr>
      </w:pPr>
      <w:r>
        <w:rPr>
          <w:rFonts w:ascii="Palatino Linotype" w:hAnsi="Palatino Linotype" w:cs="Arial"/>
          <w:b/>
        </w:rPr>
        <w:t>Modalidad</w:t>
      </w:r>
      <w:r w:rsidR="00352C44" w:rsidRPr="00D908FB">
        <w:rPr>
          <w:rFonts w:ascii="Palatino Linotype" w:hAnsi="Palatino Linotype" w:cs="Arial"/>
          <w:b/>
        </w:rPr>
        <w:t xml:space="preserve"> elegida para la entrega de la información: </w:t>
      </w:r>
      <w:r w:rsidR="00352C44" w:rsidRPr="00D908FB">
        <w:rPr>
          <w:rFonts w:ascii="Palatino Linotype" w:hAnsi="Palatino Linotype" w:cs="Arial"/>
        </w:rPr>
        <w:t>a través del SAIMEX.</w:t>
      </w:r>
    </w:p>
    <w:p w:rsidR="00352C44" w:rsidRPr="00D908FB" w:rsidRDefault="00352C44" w:rsidP="00680C3E">
      <w:pPr>
        <w:spacing w:before="240" w:after="240" w:line="360" w:lineRule="auto"/>
        <w:jc w:val="both"/>
        <w:rPr>
          <w:rFonts w:ascii="Palatino Linotype" w:hAnsi="Palatino Linotype" w:cs="Arial"/>
          <w:b/>
          <w:i/>
        </w:rPr>
      </w:pPr>
      <w:r w:rsidRPr="00D908FB">
        <w:rPr>
          <w:rFonts w:ascii="Palatino Linotype" w:hAnsi="Palatino Linotype" w:cs="Arial"/>
          <w:b/>
        </w:rPr>
        <w:lastRenderedPageBreak/>
        <w:t xml:space="preserve">2. Respuesta. </w:t>
      </w:r>
      <w:r w:rsidRPr="00D908FB">
        <w:rPr>
          <w:rFonts w:ascii="Palatino Linotype" w:hAnsi="Palatino Linotype" w:cs="Arial"/>
        </w:rPr>
        <w:t xml:space="preserve">De las constancias que obran en </w:t>
      </w:r>
      <w:r w:rsidRPr="00D908FB">
        <w:rPr>
          <w:rFonts w:ascii="Palatino Linotype" w:hAnsi="Palatino Linotype" w:cs="Arial"/>
          <w:b/>
        </w:rPr>
        <w:t>SAIMEX</w:t>
      </w:r>
      <w:r w:rsidRPr="00D908FB">
        <w:rPr>
          <w:rFonts w:ascii="Palatino Linotype" w:hAnsi="Palatino Linotype" w:cs="Arial"/>
        </w:rPr>
        <w:t xml:space="preserve">, se observa que </w:t>
      </w:r>
      <w:r w:rsidRPr="00D908FB">
        <w:rPr>
          <w:rFonts w:ascii="Palatino Linotype" w:hAnsi="Palatino Linotype" w:cs="Arial"/>
          <w:b/>
        </w:rPr>
        <w:t xml:space="preserve">el Sujeto Obligado </w:t>
      </w:r>
      <w:r w:rsidRPr="00D908FB">
        <w:rPr>
          <w:rFonts w:ascii="Palatino Linotype" w:hAnsi="Palatino Linotype" w:cs="Arial"/>
        </w:rPr>
        <w:t>no emitió respuesta a la solicitud de información formulada</w:t>
      </w:r>
      <w:r w:rsidR="00680C3E">
        <w:rPr>
          <w:rFonts w:ascii="Palatino Linotype" w:hAnsi="Palatino Linotype" w:cs="Arial"/>
        </w:rPr>
        <w:t xml:space="preserve"> por el hoy recurrente.</w:t>
      </w:r>
    </w:p>
    <w:p w:rsidR="00352C44" w:rsidRPr="00D908FB" w:rsidRDefault="00352C44" w:rsidP="00352C44">
      <w:pPr>
        <w:spacing w:before="240" w:after="240" w:line="360" w:lineRule="auto"/>
        <w:jc w:val="both"/>
        <w:rPr>
          <w:rFonts w:ascii="Palatino Linotype" w:hAnsi="Palatino Linotype" w:cs="Arial"/>
        </w:rPr>
      </w:pPr>
      <w:r w:rsidRPr="00D908FB">
        <w:rPr>
          <w:rFonts w:ascii="Palatino Linotype" w:hAnsi="Palatino Linotype" w:cs="Arial"/>
          <w:b/>
        </w:rPr>
        <w:t xml:space="preserve">3. Interposición del recurso de revisión. </w:t>
      </w:r>
      <w:r w:rsidRPr="00D908FB">
        <w:rPr>
          <w:rFonts w:ascii="Palatino Linotype" w:hAnsi="Palatino Linotype" w:cs="Arial"/>
        </w:rPr>
        <w:t xml:space="preserve">Inconforme el solicitante con la falta de respuesta del Sujeto Obligado interpuso recurso de revisión a través del SAIMEX en fecha </w:t>
      </w:r>
      <w:r w:rsidR="00680C3E">
        <w:rPr>
          <w:rFonts w:ascii="Palatino Linotype" w:hAnsi="Palatino Linotype" w:cs="Arial"/>
        </w:rPr>
        <w:t>veintitrés de noviembre de dos mil dieciocho</w:t>
      </w:r>
      <w:r w:rsidRPr="00D908FB">
        <w:rPr>
          <w:rFonts w:ascii="Palatino Linotype" w:hAnsi="Palatino Linotype" w:cs="Arial"/>
        </w:rPr>
        <w:t>, expresando lo siguiente:</w:t>
      </w:r>
    </w:p>
    <w:p w:rsidR="00352C44" w:rsidRPr="00D908FB" w:rsidRDefault="00352C44" w:rsidP="00352C44">
      <w:pPr>
        <w:spacing w:line="360" w:lineRule="auto"/>
        <w:rPr>
          <w:rFonts w:ascii="Palatino Linotype" w:hAnsi="Palatino Linotype" w:cs="Arial"/>
          <w:b/>
        </w:rPr>
      </w:pPr>
      <w:r w:rsidRPr="00D908FB">
        <w:rPr>
          <w:rFonts w:ascii="Palatino Linotype" w:hAnsi="Palatino Linotype" w:cs="Arial"/>
          <w:b/>
        </w:rPr>
        <w:t>a) Acto impugnado.</w:t>
      </w:r>
    </w:p>
    <w:p w:rsidR="00352C44" w:rsidRDefault="00352C44" w:rsidP="00352C44">
      <w:pPr>
        <w:pStyle w:val="Prrafodelista"/>
        <w:ind w:left="1077" w:right="1043"/>
        <w:jc w:val="both"/>
        <w:rPr>
          <w:rFonts w:ascii="Palatino Linotype" w:hAnsi="Palatino Linotype" w:cs="Arial"/>
          <w:i/>
        </w:rPr>
      </w:pPr>
      <w:r w:rsidRPr="00D908FB">
        <w:rPr>
          <w:rFonts w:ascii="Palatino Linotype" w:hAnsi="Palatino Linotype"/>
          <w:i/>
        </w:rPr>
        <w:t>“</w:t>
      </w:r>
      <w:r w:rsidR="00680C3E" w:rsidRPr="00680C3E">
        <w:rPr>
          <w:rFonts w:ascii="Palatino Linotype" w:hAnsi="Palatino Linotype"/>
          <w:i/>
          <w:lang w:val="es-ES"/>
        </w:rPr>
        <w:t xml:space="preserve">De conformidad con los artículos 176, 178 Párrafo Segundo, y 179 fracción VII de la Ley de Transparencia y Acceso a la Información Pública del Estado de México y Municipios, comparezco para exponer: Mediante expediente número 00023/ISIFABE/IP/2018 se solicitó al H. Ayuntamiento de ISIDRO FABELA INFORMACIÓN PÚBLICA respecto de las percepciones mensuales del PRESIDENTE MUNICIPAL, SINDICO Y REGIDORES que componen el cabildo. En fecha 05/11/2018 se venció el plazo de contestación, sin obtener respuesta del sujeto obligado, motivo por el cual me permito interponer en tiempo y forma recurso de recurso de revisión en contra de la omisión a mi solicitud por los sujetos obligados de la información solicitada. </w:t>
      </w:r>
      <w:r w:rsidR="00680C3E" w:rsidRPr="00641593">
        <w:rPr>
          <w:rFonts w:ascii="Palatino Linotype" w:hAnsi="Palatino Linotype"/>
          <w:b/>
          <w:i/>
          <w:u w:val="single"/>
          <w:lang w:val="es-ES"/>
        </w:rPr>
        <w:t>A su vez, se requiere sean brindados LOS RECIBOS DE NÓMINA O DOCUMENTO QUE ACREDITE LA REMUNERACIÓN DE LOS MESES SEPTIEMBRE y OCTUBRE DEL AÑO 2018</w:t>
      </w:r>
      <w:r w:rsidR="00680C3E" w:rsidRPr="00680C3E">
        <w:rPr>
          <w:rFonts w:ascii="Palatino Linotype" w:hAnsi="Palatino Linotype"/>
          <w:i/>
          <w:lang w:val="es-ES"/>
        </w:rPr>
        <w:t xml:space="preserve"> QUE PERCIBE EL PRESIDENTE MUNICIPAL, SINDICO Y REGIDORES EN VERSIÓN PUBLICA (REFLEJANDO ASI EL SALARIO BRUTO Y NETO MENSUAL). Adjunto al presente, acuse de solicitud formulada con antelación</w:t>
      </w:r>
      <w:r w:rsidRPr="00D908FB">
        <w:rPr>
          <w:rFonts w:ascii="Palatino Linotype" w:hAnsi="Palatino Linotype"/>
          <w:i/>
        </w:rPr>
        <w:t>.</w:t>
      </w:r>
      <w:r w:rsidRPr="00D908FB">
        <w:rPr>
          <w:rFonts w:ascii="Palatino Linotype" w:hAnsi="Palatino Linotype" w:cs="Arial"/>
          <w:i/>
        </w:rPr>
        <w:t>” (</w:t>
      </w:r>
      <w:proofErr w:type="gramStart"/>
      <w:r w:rsidRPr="00D908FB">
        <w:rPr>
          <w:rFonts w:ascii="Palatino Linotype" w:hAnsi="Palatino Linotype" w:cs="Arial"/>
          <w:i/>
        </w:rPr>
        <w:t>sic</w:t>
      </w:r>
      <w:proofErr w:type="gramEnd"/>
      <w:r w:rsidRPr="00D908FB">
        <w:rPr>
          <w:rFonts w:ascii="Palatino Linotype" w:hAnsi="Palatino Linotype" w:cs="Arial"/>
          <w:i/>
        </w:rPr>
        <w:t>)</w:t>
      </w:r>
    </w:p>
    <w:p w:rsidR="00352C44" w:rsidRPr="00D908FB" w:rsidRDefault="00352C44" w:rsidP="00352C44">
      <w:pPr>
        <w:pStyle w:val="Prrafodelista"/>
        <w:ind w:left="1077" w:right="1043"/>
        <w:jc w:val="both"/>
        <w:rPr>
          <w:rFonts w:ascii="Palatino Linotype" w:hAnsi="Palatino Linotype" w:cs="Arial"/>
          <w:i/>
        </w:rPr>
      </w:pPr>
    </w:p>
    <w:p w:rsidR="00352C44" w:rsidRPr="00D908FB" w:rsidRDefault="00352C44" w:rsidP="00352C44">
      <w:pPr>
        <w:spacing w:line="360" w:lineRule="auto"/>
        <w:jc w:val="both"/>
        <w:rPr>
          <w:rFonts w:ascii="Palatino Linotype" w:hAnsi="Palatino Linotype" w:cs="Arial"/>
          <w:b/>
        </w:rPr>
      </w:pPr>
      <w:r w:rsidRPr="00D908FB">
        <w:rPr>
          <w:rFonts w:ascii="Palatino Linotype" w:hAnsi="Palatino Linotype" w:cs="Arial"/>
          <w:b/>
        </w:rPr>
        <w:t>b) Motivos de inconformidad.</w:t>
      </w:r>
    </w:p>
    <w:p w:rsidR="00352C44" w:rsidRPr="00D908FB" w:rsidRDefault="00352C44" w:rsidP="00352C44">
      <w:pPr>
        <w:pStyle w:val="Prrafodelista"/>
        <w:spacing w:before="240" w:after="240"/>
        <w:ind w:left="1080" w:right="1043"/>
        <w:jc w:val="both"/>
        <w:rPr>
          <w:rFonts w:ascii="Palatino Linotype" w:hAnsi="Palatino Linotype" w:cs="Arial"/>
          <w:i/>
        </w:rPr>
      </w:pPr>
      <w:r w:rsidRPr="00D908FB">
        <w:rPr>
          <w:rFonts w:ascii="Palatino Linotype" w:hAnsi="Palatino Linotype" w:cs="Arial"/>
          <w:bCs/>
          <w:i/>
        </w:rPr>
        <w:t xml:space="preserve"> “</w:t>
      </w:r>
      <w:r w:rsidR="00680C3E" w:rsidRPr="00680C3E">
        <w:rPr>
          <w:rFonts w:ascii="Palatino Linotype" w:hAnsi="Palatino Linotype"/>
          <w:i/>
          <w:lang w:val="es-ES"/>
        </w:rPr>
        <w:t>NO SE DIO RESPUESTA A LO SOLICITADO</w:t>
      </w:r>
      <w:r w:rsidRPr="00D908FB">
        <w:rPr>
          <w:rFonts w:ascii="Palatino Linotype" w:hAnsi="Palatino Linotype"/>
          <w:i/>
        </w:rPr>
        <w:t>.</w:t>
      </w:r>
      <w:r w:rsidRPr="00D908FB">
        <w:rPr>
          <w:rFonts w:ascii="Palatino Linotype" w:hAnsi="Palatino Linotype" w:cs="Arial"/>
          <w:i/>
        </w:rPr>
        <w:t>” (</w:t>
      </w:r>
      <w:proofErr w:type="gramStart"/>
      <w:r w:rsidRPr="00D908FB">
        <w:rPr>
          <w:rFonts w:ascii="Palatino Linotype" w:hAnsi="Palatino Linotype" w:cs="Arial"/>
          <w:i/>
        </w:rPr>
        <w:t>sic</w:t>
      </w:r>
      <w:proofErr w:type="gramEnd"/>
      <w:r w:rsidRPr="00D908FB">
        <w:rPr>
          <w:rFonts w:ascii="Palatino Linotype" w:hAnsi="Palatino Linotype" w:cs="Arial"/>
          <w:i/>
        </w:rPr>
        <w:t>)</w:t>
      </w:r>
    </w:p>
    <w:p w:rsidR="00352C44" w:rsidRPr="00D908FB" w:rsidRDefault="00352C44" w:rsidP="00352C44">
      <w:pPr>
        <w:spacing w:before="240" w:after="240" w:line="360" w:lineRule="auto"/>
        <w:jc w:val="both"/>
        <w:rPr>
          <w:rFonts w:ascii="Palatino Linotype" w:hAnsi="Palatino Linotype"/>
        </w:rPr>
      </w:pPr>
      <w:r w:rsidRPr="00D908FB">
        <w:rPr>
          <w:rFonts w:ascii="Palatino Linotype" w:hAnsi="Palatino Linotype" w:cs="Arial"/>
          <w:b/>
        </w:rPr>
        <w:t xml:space="preserve">4. </w:t>
      </w:r>
      <w:r w:rsidRPr="00D908FB">
        <w:rPr>
          <w:rFonts w:ascii="Palatino Linotype" w:hAnsi="Palatino Linotype"/>
          <w:b/>
        </w:rPr>
        <w:t xml:space="preserve">Turno. </w:t>
      </w:r>
      <w:r w:rsidRPr="00D908FB">
        <w:rPr>
          <w:rFonts w:ascii="Palatino Linotype" w:hAnsi="Palatino Linotype"/>
        </w:rPr>
        <w:t xml:space="preserve">De conformidad con el artículo 185 </w:t>
      </w:r>
      <w:proofErr w:type="gramStart"/>
      <w:r w:rsidR="00680C3E">
        <w:rPr>
          <w:rFonts w:ascii="Palatino Linotype" w:hAnsi="Palatino Linotype"/>
        </w:rPr>
        <w:t>fracción</w:t>
      </w:r>
      <w:proofErr w:type="gramEnd"/>
      <w:r w:rsidRPr="00D908FB">
        <w:rPr>
          <w:rFonts w:ascii="Palatino Linotype" w:hAnsi="Palatino Linotype"/>
        </w:rPr>
        <w:t xml:space="preserve"> I </w:t>
      </w:r>
      <w:r w:rsidRPr="00D908FB">
        <w:rPr>
          <w:rFonts w:ascii="Palatino Linotype" w:hAnsi="Palatino Linotype"/>
          <w:shd w:val="clear" w:color="auto" w:fill="FFFFFF"/>
        </w:rPr>
        <w:t>de la Ley Transparencia y Acceso a la Información Pública</w:t>
      </w:r>
      <w:r w:rsidRPr="00D908FB">
        <w:rPr>
          <w:rFonts w:ascii="Palatino Linotype" w:hAnsi="Palatino Linotype" w:cs="Arial"/>
        </w:rPr>
        <w:t xml:space="preserve">, el recurso de revisión </w:t>
      </w:r>
      <w:r w:rsidR="00680C3E" w:rsidRPr="00D908FB">
        <w:rPr>
          <w:rFonts w:ascii="Palatino Linotype" w:hAnsi="Palatino Linotype" w:cs="Arial"/>
        </w:rPr>
        <w:t xml:space="preserve">número </w:t>
      </w:r>
      <w:r w:rsidR="00680C3E" w:rsidRPr="00D908FB">
        <w:rPr>
          <w:rFonts w:ascii="Palatino Linotype" w:hAnsi="Palatino Linotype" w:cs="Arial"/>
          <w:b/>
        </w:rPr>
        <w:lastRenderedPageBreak/>
        <w:t>0</w:t>
      </w:r>
      <w:r w:rsidR="00680C3E">
        <w:rPr>
          <w:rFonts w:ascii="Palatino Linotype" w:hAnsi="Palatino Linotype" w:cs="Arial"/>
          <w:b/>
        </w:rPr>
        <w:t>4414</w:t>
      </w:r>
      <w:r w:rsidR="00680C3E">
        <w:rPr>
          <w:rFonts w:ascii="Palatino Linotype" w:hAnsi="Palatino Linotype" w:cs="Arial"/>
          <w:b/>
          <w:bCs/>
          <w:sz w:val="23"/>
          <w:szCs w:val="23"/>
        </w:rPr>
        <w:t>/INFOEM/IP/RR/2018</w:t>
      </w:r>
      <w:r w:rsidRPr="00D908FB">
        <w:rPr>
          <w:rFonts w:ascii="Palatino Linotype" w:hAnsi="Palatino Linotype" w:cs="Arial"/>
          <w:b/>
          <w:bCs/>
          <w:sz w:val="23"/>
          <w:szCs w:val="23"/>
        </w:rPr>
        <w:t xml:space="preserve"> </w:t>
      </w:r>
      <w:r w:rsidRPr="00D908FB">
        <w:rPr>
          <w:rFonts w:ascii="Palatino Linotype" w:hAnsi="Palatino Linotype" w:cs="Arial"/>
          <w:bCs/>
          <w:sz w:val="23"/>
          <w:szCs w:val="23"/>
        </w:rPr>
        <w:t>fue turnado</w:t>
      </w:r>
      <w:r w:rsidRPr="00D908FB">
        <w:rPr>
          <w:rFonts w:ascii="Palatino Linotype" w:hAnsi="Palatino Linotype" w:cs="Arial"/>
          <w:b/>
          <w:bCs/>
          <w:sz w:val="23"/>
          <w:szCs w:val="23"/>
        </w:rPr>
        <w:t xml:space="preserve"> </w:t>
      </w:r>
      <w:r w:rsidRPr="00D908FB">
        <w:rPr>
          <w:rFonts w:ascii="Palatino Linotype" w:hAnsi="Palatino Linotype"/>
        </w:rPr>
        <w:t xml:space="preserve">al Comisionado Ponente Javier Martínez Cruz; a efecto de presentar al Pleno </w:t>
      </w:r>
      <w:r w:rsidR="00680C3E">
        <w:rPr>
          <w:rFonts w:ascii="Palatino Linotype" w:hAnsi="Palatino Linotype"/>
        </w:rPr>
        <w:t>el proyecto de resolución correspondiente</w:t>
      </w:r>
      <w:r w:rsidRPr="00D908FB">
        <w:rPr>
          <w:rFonts w:ascii="Palatino Linotype" w:hAnsi="Palatino Linotype"/>
        </w:rPr>
        <w:t>.</w:t>
      </w:r>
    </w:p>
    <w:p w:rsidR="00352C44" w:rsidRPr="00D908FB" w:rsidRDefault="00352C44" w:rsidP="00352C44">
      <w:pPr>
        <w:spacing w:before="240" w:after="240" w:line="360" w:lineRule="auto"/>
        <w:jc w:val="both"/>
        <w:rPr>
          <w:rFonts w:ascii="Palatino Linotype" w:hAnsi="Palatino Linotype"/>
        </w:rPr>
      </w:pPr>
      <w:r w:rsidRPr="00D908FB">
        <w:rPr>
          <w:rFonts w:ascii="Palatino Linotype" w:hAnsi="Palatino Linotype"/>
          <w:b/>
        </w:rPr>
        <w:t xml:space="preserve">5. Admisión. </w:t>
      </w:r>
      <w:r w:rsidRPr="00D908FB">
        <w:rPr>
          <w:rFonts w:ascii="Palatino Linotype" w:hAnsi="Palatino Linotype"/>
        </w:rPr>
        <w:t xml:space="preserve">En fecha </w:t>
      </w:r>
      <w:r w:rsidR="00680C3E">
        <w:rPr>
          <w:rFonts w:ascii="Palatino Linotype" w:hAnsi="Palatino Linotype"/>
        </w:rPr>
        <w:t>veintinueve de noviembre de dos mil dieciocho</w:t>
      </w:r>
      <w:r w:rsidRPr="00D908FB">
        <w:rPr>
          <w:rFonts w:ascii="Palatino Linotype" w:hAnsi="Palatino Linotype"/>
        </w:rPr>
        <w:t xml:space="preserve">, en términos de lo dispuesto en el artículo 185 fracciones I, II y IV de la Ley de Transparencia y Acceso a la Información Pública del Estado de México y Municipios, se admitió a trámite </w:t>
      </w:r>
      <w:r w:rsidR="00680C3E" w:rsidRPr="00D908FB">
        <w:rPr>
          <w:rFonts w:ascii="Palatino Linotype" w:hAnsi="Palatino Linotype"/>
        </w:rPr>
        <w:t>el recurso</w:t>
      </w:r>
      <w:r w:rsidRPr="00D908FB">
        <w:rPr>
          <w:rFonts w:ascii="Palatino Linotype" w:hAnsi="Palatino Linotype"/>
        </w:rPr>
        <w:t xml:space="preserve"> de revisión.</w:t>
      </w:r>
    </w:p>
    <w:p w:rsidR="00352C44" w:rsidRPr="00D908FB" w:rsidRDefault="00352C44" w:rsidP="00680C3E">
      <w:pPr>
        <w:spacing w:before="240" w:after="240" w:line="360" w:lineRule="auto"/>
        <w:jc w:val="both"/>
        <w:rPr>
          <w:rFonts w:ascii="Palatino Linotype" w:hAnsi="Palatino Linotype"/>
        </w:rPr>
      </w:pPr>
      <w:r w:rsidRPr="00D908FB">
        <w:rPr>
          <w:rFonts w:ascii="Palatino Linotype" w:hAnsi="Palatino Linotype"/>
          <w:b/>
        </w:rPr>
        <w:t>6.</w:t>
      </w:r>
      <w:r w:rsidR="00F85BEB">
        <w:rPr>
          <w:rFonts w:ascii="Palatino Linotype" w:hAnsi="Palatino Linotype" w:cs="Arial"/>
          <w:b/>
        </w:rPr>
        <w:t xml:space="preserve"> Informe</w:t>
      </w:r>
      <w:r w:rsidRPr="00D908FB">
        <w:rPr>
          <w:rFonts w:ascii="Palatino Linotype" w:hAnsi="Palatino Linotype" w:cs="Arial"/>
          <w:b/>
        </w:rPr>
        <w:t xml:space="preserve"> de justificación. </w:t>
      </w:r>
      <w:r w:rsidRPr="00D908FB">
        <w:rPr>
          <w:rFonts w:ascii="Palatino Linotype" w:hAnsi="Palatino Linotype" w:cs="Arial"/>
        </w:rPr>
        <w:t xml:space="preserve">De las constancias que obran en el expediente electrónico del SAIMEX se desprende que el </w:t>
      </w:r>
      <w:r w:rsidRPr="00D908FB">
        <w:rPr>
          <w:rFonts w:ascii="Palatino Linotype" w:hAnsi="Palatino Linotype" w:cs="Arial"/>
          <w:b/>
        </w:rPr>
        <w:t>Sujeto Obligado</w:t>
      </w:r>
      <w:r w:rsidRPr="00D908FB">
        <w:rPr>
          <w:rFonts w:ascii="Palatino Linotype" w:hAnsi="Palatino Linotype" w:cs="Arial"/>
        </w:rPr>
        <w:t xml:space="preserve"> </w:t>
      </w:r>
      <w:r w:rsidR="00680C3E">
        <w:rPr>
          <w:rFonts w:ascii="Palatino Linotype" w:hAnsi="Palatino Linotype" w:cs="Arial"/>
        </w:rPr>
        <w:t xml:space="preserve">omitió rendir </w:t>
      </w:r>
      <w:r w:rsidRPr="00D908FB">
        <w:rPr>
          <w:rFonts w:ascii="Palatino Linotype" w:hAnsi="Palatino Linotype" w:cs="Arial"/>
        </w:rPr>
        <w:t xml:space="preserve">informe justificado, </w:t>
      </w:r>
      <w:r w:rsidR="00680C3E">
        <w:rPr>
          <w:rFonts w:ascii="Palatino Linotype" w:hAnsi="Palatino Linotype" w:cs="Arial"/>
        </w:rPr>
        <w:t>del mismo modo la impetrante omitió realizar las manifestaciones que estimara convenientes.</w:t>
      </w:r>
    </w:p>
    <w:p w:rsidR="00352C44" w:rsidRPr="00D908FB" w:rsidRDefault="00352C44" w:rsidP="00352C44">
      <w:pPr>
        <w:spacing w:before="240" w:after="240" w:line="360" w:lineRule="auto"/>
        <w:jc w:val="both"/>
        <w:rPr>
          <w:rFonts w:ascii="Palatino Linotype" w:hAnsi="Palatino Linotype"/>
          <w:b/>
        </w:rPr>
      </w:pPr>
      <w:r w:rsidRPr="00D908FB">
        <w:rPr>
          <w:rFonts w:ascii="Palatino Linotype" w:hAnsi="Palatino Linotype"/>
          <w:b/>
        </w:rPr>
        <w:t xml:space="preserve">7. Cierre de Instrucción. </w:t>
      </w:r>
      <w:r w:rsidRPr="00D908FB">
        <w:rPr>
          <w:rFonts w:ascii="Palatino Linotype" w:hAnsi="Palatino Linotype"/>
        </w:rPr>
        <w:t xml:space="preserve">En fecha </w:t>
      </w:r>
      <w:r w:rsidR="00680C3E" w:rsidRPr="006A05CF">
        <w:rPr>
          <w:rFonts w:ascii="Palatino Linotype" w:hAnsi="Palatino Linotype"/>
        </w:rPr>
        <w:t>veinticuatro de enero de dos mil diecinueve</w:t>
      </w:r>
      <w:r w:rsidRPr="00D908FB">
        <w:rPr>
          <w:rFonts w:ascii="Palatino Linotype" w:hAnsi="Palatino Linotype"/>
        </w:rPr>
        <w:t xml:space="preserve">, con fundamento en lo establecido en los artículos 185, fracción VI de la </w:t>
      </w:r>
      <w:r w:rsidRPr="00D908FB">
        <w:rPr>
          <w:rFonts w:ascii="Palatino Linotype" w:hAnsi="Palatino Linotype" w:cs="Arial"/>
        </w:rPr>
        <w:t>Ley de Transparencia y Acceso a la Información Pública del Estado de México y Municipios, al no existir trámite pendiente por realizar y haber sido sustanciado el medio de impugnación se acordó el cierre de instrucción y se procede a formular la resolución que en derecho corresponda.</w:t>
      </w:r>
    </w:p>
    <w:p w:rsidR="00352C44" w:rsidRPr="00D908FB" w:rsidRDefault="00352C44" w:rsidP="00352C44">
      <w:pPr>
        <w:pStyle w:val="Prrafodelista"/>
        <w:numPr>
          <w:ilvl w:val="0"/>
          <w:numId w:val="1"/>
        </w:numPr>
        <w:spacing w:before="240" w:after="240" w:line="360" w:lineRule="auto"/>
        <w:jc w:val="center"/>
        <w:rPr>
          <w:rFonts w:ascii="Palatino Linotype" w:hAnsi="Palatino Linotype" w:cs="Arial"/>
          <w:b/>
          <w:sz w:val="24"/>
          <w:szCs w:val="24"/>
        </w:rPr>
      </w:pPr>
      <w:r w:rsidRPr="00D908FB">
        <w:rPr>
          <w:rFonts w:ascii="Palatino Linotype" w:hAnsi="Palatino Linotype" w:cs="Arial"/>
          <w:b/>
          <w:sz w:val="24"/>
          <w:szCs w:val="24"/>
        </w:rPr>
        <w:t>C O N S I D E R A N D O:</w:t>
      </w:r>
    </w:p>
    <w:p w:rsidR="00352C44" w:rsidRPr="00D908FB" w:rsidRDefault="00352C44" w:rsidP="00352C44">
      <w:pPr>
        <w:spacing w:before="240" w:after="240" w:line="360" w:lineRule="auto"/>
        <w:jc w:val="both"/>
        <w:rPr>
          <w:rFonts w:ascii="Palatino Linotype" w:hAnsi="Palatino Linotype"/>
          <w:shd w:val="clear" w:color="auto" w:fill="FFFFFF"/>
        </w:rPr>
      </w:pPr>
      <w:r w:rsidRPr="00D908FB">
        <w:rPr>
          <w:rFonts w:ascii="Palatino Linotype" w:hAnsi="Palatino Linotype" w:cs="Arial"/>
          <w:b/>
        </w:rPr>
        <w:t xml:space="preserve">Primero. Competencia. </w:t>
      </w:r>
      <w:r w:rsidRPr="00D908FB">
        <w:rPr>
          <w:rFonts w:ascii="Palatino Linotype" w:hAnsi="Palatino Linotype"/>
          <w:shd w:val="clear" w:color="auto" w:fill="FFFFFF"/>
        </w:rPr>
        <w:t xml:space="preserve">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vigésimo, </w:t>
      </w:r>
      <w:r w:rsidRPr="00D908FB">
        <w:rPr>
          <w:rFonts w:ascii="Palatino Linotype" w:hAnsi="Palatino Linotype"/>
          <w:shd w:val="clear" w:color="auto" w:fill="FFFFFF"/>
        </w:rPr>
        <w:lastRenderedPageBreak/>
        <w:t>vigésimo primero y vigésimo segundo fracciones IV y V de la Constitución Política del Estado Libre y Soberano de México; 1, 2, fracción II; 13,  29, 36, fracciones I y II; 176, 178, 179, 181 párrafo 3 y 185 de la Ley Transparencia y Acceso a la Información Pública;</w:t>
      </w:r>
      <w:r w:rsidRPr="00D908FB">
        <w:rPr>
          <w:rStyle w:val="apple-converted-space"/>
          <w:rFonts w:ascii="Palatino Linotype" w:hAnsi="Palatino Linotype"/>
          <w:shd w:val="clear" w:color="auto" w:fill="FFFFFF"/>
        </w:rPr>
        <w:t xml:space="preserve"> 7, </w:t>
      </w:r>
      <w:r w:rsidRPr="00D908FB">
        <w:rPr>
          <w:rFonts w:ascii="Palatino Linotype" w:hAnsi="Palatino Linotype" w:cs="Arial"/>
        </w:rPr>
        <w:t xml:space="preserve">9, fracciones I y XXIV y 11 </w:t>
      </w:r>
      <w:r w:rsidRPr="00D908FB">
        <w:rPr>
          <w:rFonts w:ascii="Palatino Linotype" w:hAnsi="Palatino Linotype"/>
          <w:shd w:val="clear" w:color="auto" w:fill="FFFFFF"/>
        </w:rPr>
        <w:t>del Reglamento Interior del Instituto de Transparencia, Acceso a la Información Pública y Protección de Datos Personales del Estado de México y Municipios.</w:t>
      </w:r>
    </w:p>
    <w:p w:rsidR="00352C44" w:rsidRPr="00D908FB" w:rsidRDefault="00352C44" w:rsidP="00352C44">
      <w:pPr>
        <w:spacing w:before="240" w:after="240" w:line="360" w:lineRule="auto"/>
        <w:jc w:val="both"/>
        <w:rPr>
          <w:rFonts w:ascii="Palatino Linotype" w:hAnsi="Palatino Linotype" w:cs="Arial"/>
        </w:rPr>
      </w:pPr>
      <w:r w:rsidRPr="00D908FB">
        <w:rPr>
          <w:rFonts w:ascii="Palatino Linotype" w:hAnsi="Palatino Linotype" w:cs="Arial"/>
          <w:b/>
        </w:rPr>
        <w:t xml:space="preserve">Segundo. Oportunidad y </w:t>
      </w:r>
      <w:proofErr w:type="spellStart"/>
      <w:r w:rsidRPr="00D908FB">
        <w:rPr>
          <w:rFonts w:ascii="Palatino Linotype" w:hAnsi="Palatino Linotype" w:cs="Arial"/>
          <w:b/>
        </w:rPr>
        <w:t>Procedibilidad</w:t>
      </w:r>
      <w:proofErr w:type="spellEnd"/>
      <w:r w:rsidRPr="00D908FB">
        <w:rPr>
          <w:rFonts w:ascii="Palatino Linotype" w:hAnsi="Palatino Linotype" w:cs="Arial"/>
          <w:b/>
        </w:rPr>
        <w:t xml:space="preserve">. </w:t>
      </w:r>
      <w:r w:rsidRPr="00D908FB">
        <w:rPr>
          <w:rFonts w:ascii="Palatino Linotype" w:hAnsi="Palatino Linotype" w:cs="Arial"/>
        </w:rPr>
        <w:t>Es de precisar que la</w:t>
      </w:r>
      <w:r w:rsidRPr="00D908FB">
        <w:rPr>
          <w:rFonts w:ascii="Palatino Linotype" w:hAnsi="Palatino Linotype" w:cs="Arial"/>
          <w:b/>
        </w:rPr>
        <w:t xml:space="preserve"> </w:t>
      </w:r>
      <w:r w:rsidRPr="00D908FB">
        <w:rPr>
          <w:rFonts w:ascii="Palatino Linotype" w:hAnsi="Palatino Linotype" w:cs="Arial"/>
        </w:rPr>
        <w:t xml:space="preserve">Ley de Transparencia y Acceso a la Información Pública del Estado de México y Municipios, describe el mecanismo de procedencia de los recursos de revisión, como se dispone en los artículos 163 y 166, del tenor literal siguiente: </w:t>
      </w:r>
    </w:p>
    <w:p w:rsidR="00352C44" w:rsidRPr="00D908FB" w:rsidRDefault="00352C44" w:rsidP="00352C44">
      <w:pPr>
        <w:ind w:left="992" w:right="1043"/>
        <w:jc w:val="both"/>
        <w:rPr>
          <w:rFonts w:ascii="Palatino Linotype" w:hAnsi="Palatino Linotype" w:cs="Arial"/>
          <w:i/>
        </w:rPr>
      </w:pPr>
      <w:r w:rsidRPr="00D908FB">
        <w:rPr>
          <w:rFonts w:ascii="Palatino Linotype" w:hAnsi="Palatino Linotype" w:cs="Arial"/>
          <w:i/>
          <w:sz w:val="22"/>
          <w:szCs w:val="22"/>
          <w:lang w:val="es-MX"/>
        </w:rPr>
        <w:t>“</w:t>
      </w:r>
      <w:r w:rsidRPr="00D908FB">
        <w:rPr>
          <w:rFonts w:ascii="Palatino Linotype" w:hAnsi="Palatino Linotype" w:cs="Arial"/>
          <w:b/>
          <w:bCs/>
          <w:i/>
          <w:sz w:val="22"/>
          <w:szCs w:val="22"/>
          <w:lang w:val="es-MX"/>
        </w:rPr>
        <w:t xml:space="preserve">Artículo 163. </w:t>
      </w:r>
      <w:r w:rsidRPr="00D908FB">
        <w:rPr>
          <w:rFonts w:ascii="Palatino Linotype" w:hAnsi="Palatino Linotype" w:cs="Arial"/>
          <w:i/>
          <w:sz w:val="22"/>
          <w:szCs w:val="22"/>
          <w:lang w:val="es-MX"/>
        </w:rPr>
        <w:t xml:space="preserve">La Unidad de Transparencia deberá notificar la respuesta a la solicitud al interesado en el menor tiempo posible, que no podrá exceder de quince días hábiles, contados a partir del día siguiente a la presentación de aquélla. </w:t>
      </w:r>
    </w:p>
    <w:p w:rsidR="00352C44" w:rsidRPr="00D908FB" w:rsidRDefault="00352C44" w:rsidP="00352C44">
      <w:pPr>
        <w:ind w:left="992" w:right="1043"/>
        <w:jc w:val="both"/>
        <w:rPr>
          <w:rFonts w:ascii="Palatino Linotype" w:hAnsi="Palatino Linotype" w:cs="Arial"/>
          <w:i/>
        </w:rPr>
      </w:pPr>
      <w:r w:rsidRPr="00D908FB">
        <w:rPr>
          <w:rFonts w:ascii="Palatino Linotype" w:hAnsi="Palatino Linotype" w:cs="Arial"/>
          <w:i/>
          <w:sz w:val="22"/>
          <w:szCs w:val="22"/>
          <w:lang w:val="es-MX"/>
        </w:rPr>
        <w:t>(…)</w:t>
      </w:r>
    </w:p>
    <w:p w:rsidR="00352C44" w:rsidRPr="00D908FB" w:rsidRDefault="00352C44" w:rsidP="00352C44">
      <w:pPr>
        <w:ind w:left="992" w:right="1043"/>
        <w:jc w:val="both"/>
        <w:rPr>
          <w:rFonts w:ascii="Palatino Linotype" w:hAnsi="Palatino Linotype" w:cs="Arial"/>
          <w:i/>
        </w:rPr>
      </w:pPr>
      <w:r w:rsidRPr="00D908FB">
        <w:rPr>
          <w:rFonts w:ascii="Palatino Linotype" w:hAnsi="Palatino Linotype" w:cs="Arial"/>
          <w:b/>
          <w:i/>
          <w:sz w:val="22"/>
          <w:szCs w:val="22"/>
        </w:rPr>
        <w:t>Artículo 166.-</w:t>
      </w:r>
      <w:r w:rsidRPr="00D908FB">
        <w:rPr>
          <w:rFonts w:ascii="Palatino Linotype" w:hAnsi="Palatino Linotype" w:cs="Arial"/>
          <w:i/>
          <w:sz w:val="22"/>
          <w:szCs w:val="22"/>
        </w:rPr>
        <w:t xml:space="preserve"> (…)</w:t>
      </w:r>
    </w:p>
    <w:p w:rsidR="00352C44" w:rsidRPr="00D908FB" w:rsidRDefault="00352C44" w:rsidP="00FC1A8C">
      <w:pPr>
        <w:ind w:left="992" w:right="1043"/>
        <w:jc w:val="both"/>
        <w:rPr>
          <w:rFonts w:ascii="Palatino Linotype" w:hAnsi="Palatino Linotype" w:cs="Arial"/>
          <w:i/>
        </w:rPr>
      </w:pPr>
      <w:r w:rsidRPr="00D908FB">
        <w:rPr>
          <w:rFonts w:ascii="Palatino Linotype" w:hAnsi="Palatino Linotype" w:cs="Arial"/>
          <w:i/>
          <w:sz w:val="22"/>
          <w:szCs w:val="22"/>
        </w:rPr>
        <w:t xml:space="preserve">Cuando el sujeto obligado no entregue la respuesta a la solicitud dentro del plazo previsto en la Ley, la solicitud se entenderá negada y el solicitante podrá interponer el recurso de revisión previsto en este ordenamiento.” </w:t>
      </w:r>
    </w:p>
    <w:p w:rsidR="00FC1A8C" w:rsidRDefault="00FC1A8C" w:rsidP="00352C44">
      <w:pPr>
        <w:ind w:left="992" w:right="1043"/>
        <w:jc w:val="both"/>
        <w:rPr>
          <w:rFonts w:ascii="Palatino Linotype" w:hAnsi="Palatino Linotype" w:cs="Arial"/>
          <w:i/>
          <w:sz w:val="22"/>
          <w:szCs w:val="22"/>
        </w:rPr>
      </w:pPr>
    </w:p>
    <w:p w:rsidR="00352C44" w:rsidRPr="00D908FB" w:rsidRDefault="00FC1A8C" w:rsidP="00352C44">
      <w:pPr>
        <w:ind w:left="992" w:right="1043"/>
        <w:jc w:val="both"/>
        <w:rPr>
          <w:rFonts w:ascii="Palatino Linotype" w:hAnsi="Palatino Linotype" w:cs="Arial"/>
          <w:i/>
        </w:rPr>
      </w:pPr>
      <w:r>
        <w:rPr>
          <w:rFonts w:ascii="Palatino Linotype" w:hAnsi="Palatino Linotype" w:cs="Arial"/>
          <w:i/>
          <w:sz w:val="22"/>
          <w:szCs w:val="22"/>
        </w:rPr>
        <w:t>Énfasis añadido</w:t>
      </w:r>
    </w:p>
    <w:p w:rsidR="00352C44" w:rsidRPr="00D908FB" w:rsidRDefault="00352C44" w:rsidP="00352C44">
      <w:pPr>
        <w:spacing w:before="240" w:after="240" w:line="360" w:lineRule="auto"/>
        <w:jc w:val="both"/>
        <w:rPr>
          <w:rFonts w:ascii="Palatino Linotype" w:hAnsi="Palatino Linotype" w:cs="Arial"/>
        </w:rPr>
      </w:pPr>
      <w:r w:rsidRPr="00D908FB">
        <w:rPr>
          <w:rFonts w:ascii="Palatino Linotype" w:hAnsi="Palatino Linotype" w:cs="Arial"/>
        </w:rPr>
        <w:t xml:space="preserve">De la interpretación sistemática a los preceptos legales insertos, se obtiene que el plazo que les asiste a los Sujetos Obligados para entregar la respuesta a una solicitud de información pública es de quince días hábiles posteriores a la presentación de ésta; sin embargo, en aquellos casos en que transcurre el referido plazo de quince días hábiles, sin que los Sujetos Obligados entreguen la respuesta a la solicitud de </w:t>
      </w:r>
      <w:r w:rsidRPr="00D908FB">
        <w:rPr>
          <w:rFonts w:ascii="Palatino Linotype" w:hAnsi="Palatino Linotype" w:cs="Arial"/>
        </w:rPr>
        <w:lastRenderedPageBreak/>
        <w:t>información, ésta se considera negada; por lo que al solicitante le asiste el derecho para presentar el recurso de revisión.</w:t>
      </w:r>
    </w:p>
    <w:p w:rsidR="00352C44" w:rsidRPr="00D908FB" w:rsidRDefault="00352C44" w:rsidP="00352C44">
      <w:pPr>
        <w:spacing w:before="240" w:after="240" w:line="360" w:lineRule="auto"/>
        <w:jc w:val="both"/>
        <w:rPr>
          <w:rFonts w:ascii="Palatino Linotype" w:hAnsi="Palatino Linotype" w:cs="Arial"/>
          <w:i/>
        </w:rPr>
      </w:pPr>
      <w:r w:rsidRPr="00D908FB">
        <w:rPr>
          <w:rFonts w:ascii="Palatino Linotype" w:hAnsi="Palatino Linotype" w:cs="Arial"/>
        </w:rPr>
        <w:t>Derivado de lo anterior, se constituye lo que en la doctrina se conoce como negativa ficta, figura jurídica cuya esencia consiste en atribuir un efecto negativo al silencio de la autoridad administrativa frente a las instancias y solicitudes que hagan los particulares.</w:t>
      </w:r>
    </w:p>
    <w:p w:rsidR="00352C44" w:rsidRPr="00D908FB" w:rsidRDefault="00352C44" w:rsidP="00352C44">
      <w:pPr>
        <w:spacing w:before="240" w:after="240" w:line="360" w:lineRule="auto"/>
        <w:jc w:val="both"/>
        <w:rPr>
          <w:rFonts w:ascii="Palatino Linotype" w:hAnsi="Palatino Linotype" w:cs="Arial"/>
          <w:i/>
        </w:rPr>
      </w:pPr>
      <w:r w:rsidRPr="00D908FB">
        <w:rPr>
          <w:rFonts w:ascii="Palatino Linotype" w:hAnsi="Palatino Linotype" w:cs="Arial"/>
        </w:rPr>
        <w:t>Por su parte, el artículo 178 del citado ordenamiento, establece:</w:t>
      </w:r>
    </w:p>
    <w:p w:rsidR="00FC1A8C" w:rsidRPr="00FC1A8C" w:rsidRDefault="00352C44" w:rsidP="00FC1A8C">
      <w:pPr>
        <w:spacing w:before="240" w:after="240"/>
        <w:ind w:left="992" w:right="1043"/>
        <w:jc w:val="both"/>
        <w:rPr>
          <w:rFonts w:ascii="Palatino Linotype" w:hAnsi="Palatino Linotype" w:cs="Arial"/>
          <w:b/>
          <w:i/>
          <w:sz w:val="22"/>
          <w:szCs w:val="22"/>
        </w:rPr>
      </w:pPr>
      <w:r w:rsidRPr="00D908FB">
        <w:rPr>
          <w:rFonts w:ascii="Palatino Linotype" w:hAnsi="Palatino Linotype" w:cs="Arial"/>
          <w:i/>
          <w:sz w:val="22"/>
          <w:szCs w:val="22"/>
        </w:rPr>
        <w:t>“</w:t>
      </w:r>
      <w:r w:rsidRPr="00D908FB">
        <w:rPr>
          <w:rFonts w:ascii="Palatino Linotype" w:hAnsi="Palatino Linotype" w:cs="Arial"/>
          <w:b/>
          <w:bCs/>
          <w:i/>
          <w:sz w:val="22"/>
          <w:szCs w:val="22"/>
        </w:rPr>
        <w:t xml:space="preserve">Artículo 178. </w:t>
      </w:r>
      <w:r w:rsidRPr="00D908FB">
        <w:rPr>
          <w:rFonts w:ascii="Palatino Linotype" w:hAnsi="Palatino Linotype" w:cs="Arial"/>
          <w:i/>
          <w:sz w:val="22"/>
          <w:szCs w:val="22"/>
        </w:rPr>
        <w:t>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r w:rsidRPr="00D908FB">
        <w:rPr>
          <w:rFonts w:ascii="Palatino Linotype" w:hAnsi="Palatino Linotype" w:cs="Arial"/>
          <w:b/>
          <w:i/>
          <w:sz w:val="22"/>
          <w:szCs w:val="22"/>
        </w:rPr>
        <w:t>.”</w:t>
      </w:r>
    </w:p>
    <w:p w:rsidR="00352C44" w:rsidRPr="00D908FB" w:rsidRDefault="00352C44" w:rsidP="00352C44">
      <w:pPr>
        <w:spacing w:before="240" w:after="240" w:line="360" w:lineRule="auto"/>
        <w:jc w:val="both"/>
        <w:rPr>
          <w:rFonts w:ascii="Palatino Linotype" w:hAnsi="Palatino Linotype" w:cs="Arial"/>
        </w:rPr>
      </w:pPr>
      <w:r w:rsidRPr="00D908FB">
        <w:rPr>
          <w:rFonts w:ascii="Palatino Linotype" w:hAnsi="Palatino Linotype" w:cs="Arial"/>
        </w:rPr>
        <w:t xml:space="preserve">De lo anterior, se advierte que el recurso de revisión se ha de interponer dentro del plazo de quince días hábiles, a partir de la fecha en que el </w:t>
      </w:r>
      <w:r w:rsidRPr="00D908FB">
        <w:rPr>
          <w:rFonts w:ascii="Palatino Linotype" w:hAnsi="Palatino Linotype" w:cs="Arial"/>
          <w:b/>
        </w:rPr>
        <w:t xml:space="preserve">Sujeto Obligado </w:t>
      </w:r>
      <w:r w:rsidRPr="00D908FB">
        <w:rPr>
          <w:rFonts w:ascii="Palatino Linotype" w:hAnsi="Palatino Linotype" w:cs="Arial"/>
        </w:rPr>
        <w:t xml:space="preserve">da respuesta a la solicitud de información; sin embargo, tratándose de </w:t>
      </w:r>
      <w:r w:rsidRPr="00D908FB">
        <w:rPr>
          <w:rFonts w:ascii="Palatino Linotype" w:hAnsi="Palatino Linotype" w:cs="Arial"/>
          <w:i/>
        </w:rPr>
        <w:t>negativa ficta</w:t>
      </w:r>
      <w:r w:rsidRPr="00D908FB">
        <w:rPr>
          <w:rFonts w:ascii="Palatino Linotype" w:hAnsi="Palatino Linotype" w:cs="Arial"/>
        </w:rPr>
        <w:t xml:space="preserve"> no existe resolución que se haga del conocimiento del particular a partir de la cual pueda computarse dicho plazo, por lo que se concluye que la interposición del recurso de revisión puede ser en cualquier momento.</w:t>
      </w:r>
    </w:p>
    <w:p w:rsidR="00352C44" w:rsidRPr="00D908FB" w:rsidRDefault="00352C44" w:rsidP="00352C44">
      <w:pPr>
        <w:spacing w:before="240" w:after="240" w:line="360" w:lineRule="auto"/>
        <w:jc w:val="both"/>
        <w:rPr>
          <w:rFonts w:ascii="Palatino Linotype" w:hAnsi="Palatino Linotype" w:cs="Arial"/>
        </w:rPr>
      </w:pPr>
      <w:r w:rsidRPr="00D908FB">
        <w:rPr>
          <w:rFonts w:ascii="Palatino Linotype" w:hAnsi="Palatino Linotype" w:cs="Arial"/>
        </w:rPr>
        <w:t xml:space="preserve">La </w:t>
      </w:r>
      <w:r w:rsidRPr="00D908FB">
        <w:rPr>
          <w:rFonts w:ascii="Palatino Linotype" w:hAnsi="Palatino Linotype" w:cs="Arial"/>
          <w:i/>
        </w:rPr>
        <w:t>negativa ficta</w:t>
      </w:r>
      <w:r w:rsidRPr="00D908FB">
        <w:rPr>
          <w:rFonts w:ascii="Palatino Linotype" w:hAnsi="Palatino Linotype" w:cs="Arial"/>
        </w:rPr>
        <w:t xml:space="preserve"> constituye una presunción legal, en el entendido de que donde no hubo respuesta por parte del </w:t>
      </w:r>
      <w:r w:rsidRPr="00D908FB">
        <w:rPr>
          <w:rFonts w:ascii="Palatino Linotype" w:hAnsi="Palatino Linotype" w:cs="Arial"/>
          <w:b/>
        </w:rPr>
        <w:t xml:space="preserve">Sujeto Obligado </w:t>
      </w:r>
      <w:r w:rsidRPr="00D908FB">
        <w:rPr>
          <w:rFonts w:ascii="Palatino Linotype" w:hAnsi="Palatino Linotype" w:cs="Arial"/>
        </w:rPr>
        <w:t xml:space="preserve">existe por lo tanto, una resolución de rechazo ante la solicitud del ciudadano; ya que efectivamente, dicha figura se encuentra íntimamente vinculada con el Derecho de Petición, consagrado en nuestra Carta Magna, es por ello que constituye un instrumento que garantiza la posibilidad de defensa del particular en contra de la incertidumbre jurídica y que tiende a </w:t>
      </w:r>
      <w:r w:rsidRPr="00D908FB">
        <w:rPr>
          <w:rFonts w:ascii="Palatino Linotype" w:hAnsi="Palatino Linotype" w:cs="Arial"/>
        </w:rPr>
        <w:lastRenderedPageBreak/>
        <w:t xml:space="preserve">realizar ese </w:t>
      </w:r>
      <w:r w:rsidRPr="00D908FB">
        <w:rPr>
          <w:rFonts w:ascii="Palatino Linotype" w:hAnsi="Palatino Linotype" w:cs="Arial"/>
          <w:i/>
        </w:rPr>
        <w:t>Estado de Derecho</w:t>
      </w:r>
      <w:r w:rsidRPr="00D908FB">
        <w:rPr>
          <w:rFonts w:ascii="Palatino Linotype" w:hAnsi="Palatino Linotype" w:cs="Arial"/>
        </w:rPr>
        <w:t xml:space="preserve"> en el que, el particular, tiene siempre una vía de defensa en contra de los actos autoritarios que le perjudican.</w:t>
      </w:r>
    </w:p>
    <w:p w:rsidR="00352C44" w:rsidRPr="00D908FB" w:rsidRDefault="00352C44" w:rsidP="00352C44">
      <w:pPr>
        <w:spacing w:before="240" w:after="240" w:line="360" w:lineRule="auto"/>
        <w:jc w:val="both"/>
        <w:rPr>
          <w:rFonts w:ascii="Palatino Linotype" w:hAnsi="Palatino Linotype" w:cs="Arial"/>
        </w:rPr>
      </w:pPr>
      <w:r w:rsidRPr="00D908FB">
        <w:rPr>
          <w:rFonts w:ascii="Palatino Linotype" w:hAnsi="Palatino Linotype" w:cs="Arial"/>
        </w:rPr>
        <w:t xml:space="preserve">En el marco del derecho de acceso a la información pública, la figura de la </w:t>
      </w:r>
      <w:r w:rsidRPr="00D908FB">
        <w:rPr>
          <w:rFonts w:ascii="Palatino Linotype" w:hAnsi="Palatino Linotype" w:cs="Arial"/>
          <w:i/>
        </w:rPr>
        <w:t>negativa ficta</w:t>
      </w:r>
      <w:r w:rsidRPr="00D908FB">
        <w:rPr>
          <w:rFonts w:ascii="Palatino Linotype" w:hAnsi="Palatino Linotype" w:cs="Arial"/>
        </w:rPr>
        <w:t xml:space="preserve"> brinda al ciudadano la oportunidad de inconformarse en los casos en que estime violentado su derecho; permitiendo a este Instituto cumplir los principios por los cuales la misma ley se rige que atienden a la simplicidad y rapidez al acceso a la información, por lo tanto antes de que se actualice un recurso extemporáneo, se actualiza la omisión del Sujeto Obligado de dar respuesta, por lo que este Órgano Garante del derecho de acceso a la información y en aras de privilegiar el principio de máxima publicidad deberá dar entrada al estudio del fondo del recurso interpuesto en dichos casos y no optar por el </w:t>
      </w:r>
      <w:proofErr w:type="spellStart"/>
      <w:r w:rsidRPr="00D908FB">
        <w:rPr>
          <w:rFonts w:ascii="Palatino Linotype" w:hAnsi="Palatino Linotype" w:cs="Arial"/>
        </w:rPr>
        <w:t>desechamiento</w:t>
      </w:r>
      <w:proofErr w:type="spellEnd"/>
      <w:r w:rsidRPr="00D908FB">
        <w:rPr>
          <w:rFonts w:ascii="Palatino Linotype" w:hAnsi="Palatino Linotype" w:cs="Arial"/>
        </w:rPr>
        <w:t xml:space="preserve"> del mismo.</w:t>
      </w:r>
    </w:p>
    <w:p w:rsidR="00352C44" w:rsidRPr="00D908FB" w:rsidRDefault="00352C44" w:rsidP="00352C44">
      <w:pPr>
        <w:spacing w:before="240" w:after="240" w:line="360" w:lineRule="auto"/>
        <w:jc w:val="both"/>
        <w:rPr>
          <w:rFonts w:ascii="Palatino Linotype" w:hAnsi="Palatino Linotype" w:cs="Arial"/>
          <w:i/>
          <w:lang w:val="es-MX"/>
        </w:rPr>
      </w:pPr>
      <w:r w:rsidRPr="00D908FB">
        <w:rPr>
          <w:rFonts w:ascii="Palatino Linotype" w:hAnsi="Palatino Linotype" w:cs="Arial"/>
        </w:rPr>
        <w:t xml:space="preserve">Por lo tanto, con la finalidad de no reducir ni limitar el derecho de acceso a la información y concederle una protección más eficaz al solicitante para impugnar el silencio del </w:t>
      </w:r>
      <w:r w:rsidRPr="00D908FB">
        <w:rPr>
          <w:rFonts w:ascii="Palatino Linotype" w:hAnsi="Palatino Linotype" w:cs="Arial"/>
          <w:b/>
        </w:rPr>
        <w:t>Sujeto Obligado</w:t>
      </w:r>
      <w:r w:rsidRPr="00D908FB">
        <w:rPr>
          <w:rFonts w:ascii="Palatino Linotype" w:hAnsi="Palatino Linotype" w:cs="Arial"/>
        </w:rPr>
        <w:t>, éste tiene la posibilidad de impugnar dicha omisión en cualquier tiempo mediante el recurso de revisión y con ello satisfacer su pretensión; postura que ha sido adoptada mediante criterio número 001-15, aprobado por el Pleno del Instituto de Transparencia, Acceso a la Información Pública y Protección de Datos Personales del Estado de México y Municipios y publicado en el Periódico Oficial del Estado de México “Gaceta del Gobierno”, el veintitrés de abril de dos mil quince, que establece:</w:t>
      </w:r>
    </w:p>
    <w:p w:rsidR="00352C44" w:rsidRPr="00D908FB" w:rsidRDefault="00352C44" w:rsidP="00352C44">
      <w:pPr>
        <w:ind w:left="992" w:right="1043"/>
        <w:jc w:val="both"/>
        <w:rPr>
          <w:rFonts w:ascii="Palatino Linotype" w:hAnsi="Palatino Linotype" w:cs="Arial"/>
          <w:i/>
        </w:rPr>
      </w:pPr>
      <w:r w:rsidRPr="00D908FB">
        <w:rPr>
          <w:rFonts w:ascii="Palatino Linotype" w:hAnsi="Palatino Linotype" w:cs="Arial"/>
          <w:b/>
          <w:i/>
          <w:sz w:val="22"/>
          <w:szCs w:val="22"/>
          <w:lang w:val="es-MX"/>
        </w:rPr>
        <w:t>“CRITERIO 0001-15. NEGATIVA FICTA. PLAZO PARA INTERPONER EL RECURSO DE REVISIÓN TRATÁNDOSE DE</w:t>
      </w:r>
      <w:r w:rsidRPr="00D908FB">
        <w:rPr>
          <w:rFonts w:ascii="Palatino Linotype" w:hAnsi="Palatino Linotype" w:cs="Arial"/>
          <w:i/>
          <w:sz w:val="22"/>
          <w:szCs w:val="22"/>
          <w:lang w:val="es-MX"/>
        </w:rPr>
        <w:t xml:space="preserve">. El artículo 48, párrafo tercero de la Ley de Transparencia y Acceso a la Información Pública del Estado de México y Municipios establece que, cuando no se entregue la respuesta a la solicitud dentro del plazo de 15 días </w:t>
      </w:r>
      <w:r w:rsidRPr="00D908FB">
        <w:rPr>
          <w:rFonts w:ascii="Palatino Linotype" w:hAnsi="Palatino Linotype" w:cs="Arial"/>
          <w:i/>
          <w:sz w:val="22"/>
          <w:szCs w:val="22"/>
          <w:lang w:val="es-MX"/>
        </w:rPr>
        <w:lastRenderedPageBreak/>
        <w:t>establecidos en el artículo 46 de la Ley de la materia, se entenderá por negada la solicitud y podrá interponerse el recurso correspondiente. Por su parte, el artículo 72 del mismo ordenamiento legal establece el plazo de 15 días para interponer el recurso de revisión a partir del día siguiente al que tuvo conocimiento de la respuesta recaída a su solicitud, sin que se establezca excepción alguna tratándose de una falta de respuesta del sujeto obligado. Así, entonces, resulta evidente que, al no emitirse respuesta dentro del plazo establecido, se genera la ficción legal de una respuesta en sentido negativo; en el entendido de que el plazo para impugnar esa negativa podrá ser en cualquier tiempo y hasta en tanto no se dicte resolución expresa; es decir, mientras no haya respuesta por parte del Sujeto Obligado, momento a partir del cual deberá computarse el plazo previsto en el artículo 72 de la citada Ley.”</w:t>
      </w:r>
    </w:p>
    <w:p w:rsidR="00352C44" w:rsidRPr="00D908FB" w:rsidRDefault="00352C44" w:rsidP="00352C44">
      <w:pPr>
        <w:ind w:left="992" w:right="1043"/>
        <w:jc w:val="both"/>
        <w:rPr>
          <w:rFonts w:ascii="Palatino Linotype" w:hAnsi="Palatino Linotype" w:cs="Arial"/>
          <w:i/>
        </w:rPr>
      </w:pPr>
      <w:r w:rsidRPr="00D908FB">
        <w:rPr>
          <w:rFonts w:ascii="Palatino Linotype" w:hAnsi="Palatino Linotype" w:cs="Arial"/>
          <w:i/>
          <w:sz w:val="22"/>
          <w:szCs w:val="22"/>
          <w:lang w:val="es-MX"/>
        </w:rPr>
        <w:t>(Énfasis añadido)</w:t>
      </w:r>
    </w:p>
    <w:p w:rsidR="00352C44" w:rsidRPr="00D908FB" w:rsidRDefault="00352C44" w:rsidP="00352C44">
      <w:pPr>
        <w:spacing w:before="240" w:after="240" w:line="360" w:lineRule="auto"/>
        <w:jc w:val="both"/>
        <w:rPr>
          <w:rFonts w:ascii="Palatino Linotype" w:hAnsi="Palatino Linotype" w:cs="Arial"/>
        </w:rPr>
      </w:pPr>
      <w:r w:rsidRPr="00D908FB">
        <w:rPr>
          <w:rFonts w:ascii="Palatino Linotype" w:hAnsi="Palatino Linotype" w:cs="Arial"/>
        </w:rPr>
        <w:t>Asimismo, tras la revisión de los escritos de interposición, se concluye la acreditación plena de todos y cada uno de los elementos formales exigidos por el artículo 180 de la Ley de Transparencia y Acceso a la Información Pública del Estado de México y Municipios.</w:t>
      </w:r>
    </w:p>
    <w:p w:rsidR="00352C44" w:rsidRPr="00D908FB" w:rsidRDefault="00352C44" w:rsidP="00352C44">
      <w:pPr>
        <w:spacing w:before="240" w:after="240" w:line="360" w:lineRule="auto"/>
        <w:jc w:val="both"/>
        <w:rPr>
          <w:rFonts w:ascii="Palatino Linotype" w:hAnsi="Palatino Linotype" w:cs="Arial"/>
        </w:rPr>
      </w:pPr>
      <w:r w:rsidRPr="00D908FB">
        <w:rPr>
          <w:rFonts w:ascii="Palatino Linotype" w:hAnsi="Palatino Linotype" w:cs="Arial"/>
        </w:rPr>
        <w:t xml:space="preserve">Del análisis efectuado se advierte que resulta procedente la interposición de los recursos y se concluye la acreditación plena de todos y cada uno de los elementos formales exigidos por el artículo 180 </w:t>
      </w:r>
      <w:r w:rsidRPr="00D908FB">
        <w:rPr>
          <w:rFonts w:ascii="Palatino Linotype" w:hAnsi="Palatino Linotype" w:cs="Arial"/>
          <w:lang w:val="es-ES_tradnl"/>
        </w:rPr>
        <w:t xml:space="preserve">de la </w:t>
      </w:r>
      <w:r w:rsidRPr="00D908FB">
        <w:rPr>
          <w:rFonts w:ascii="Palatino Linotype" w:hAnsi="Palatino Linotype" w:cs="Arial"/>
        </w:rPr>
        <w:t xml:space="preserve">Ley de Transparencia y Acceso a la Información Pública del Estado de México y Municipios en vigor, en atención a que fue presentado mediante el formato visible </w:t>
      </w:r>
      <w:r w:rsidRPr="00D908FB">
        <w:rPr>
          <w:rFonts w:ascii="Palatino Linotype" w:hAnsi="Palatino Linotype" w:cs="Arial"/>
          <w:b/>
        </w:rPr>
        <w:t xml:space="preserve">EL SAIMEX.  </w:t>
      </w:r>
    </w:p>
    <w:p w:rsidR="00352C44" w:rsidRPr="00D908FB" w:rsidRDefault="00352C44" w:rsidP="00352C44">
      <w:pPr>
        <w:spacing w:before="240" w:after="240" w:line="360" w:lineRule="auto"/>
        <w:jc w:val="both"/>
        <w:rPr>
          <w:rFonts w:ascii="Palatino Linotype" w:hAnsi="Palatino Linotype" w:cs="Arial"/>
          <w:b/>
        </w:rPr>
      </w:pPr>
      <w:r w:rsidRPr="00D908FB">
        <w:rPr>
          <w:rFonts w:ascii="Palatino Linotype" w:hAnsi="Palatino Linotype" w:cs="Arial"/>
          <w:b/>
        </w:rPr>
        <w:t xml:space="preserve">Tercero. Materia de la revisión. </w:t>
      </w:r>
      <w:r w:rsidRPr="00D908FB">
        <w:rPr>
          <w:rFonts w:ascii="Palatino Linotype" w:hAnsi="Palatino Linotype" w:cs="Arial"/>
        </w:rPr>
        <w:t xml:space="preserve">De la revisión a las constancias que obran en el expediente electrónico se advierte que el tema sobre el que este Instituto se pronunciará será: </w:t>
      </w:r>
      <w:r w:rsidRPr="00D908FB">
        <w:rPr>
          <w:rFonts w:ascii="Palatino Linotype" w:hAnsi="Palatino Linotype" w:cs="Arial"/>
          <w:b/>
        </w:rPr>
        <w:t xml:space="preserve">verificar si el sujeto obligado en el ejercicio de sus atribuciones posee, administra o genera la información solicitada y si resulta procedente su entrega. </w:t>
      </w:r>
    </w:p>
    <w:p w:rsidR="00352C44" w:rsidRPr="00D908FB" w:rsidRDefault="00352C44" w:rsidP="00352C44">
      <w:pPr>
        <w:spacing w:before="240" w:after="240" w:line="360" w:lineRule="auto"/>
        <w:jc w:val="both"/>
        <w:rPr>
          <w:rFonts w:ascii="Palatino Linotype" w:hAnsi="Palatino Linotype" w:cs="Arial"/>
        </w:rPr>
      </w:pPr>
      <w:r w:rsidRPr="00D908FB">
        <w:rPr>
          <w:rFonts w:ascii="Palatino Linotype" w:hAnsi="Palatino Linotype" w:cs="Arial"/>
          <w:b/>
        </w:rPr>
        <w:lastRenderedPageBreak/>
        <w:t xml:space="preserve">Cuarto. Estudio del asunto. </w:t>
      </w:r>
      <w:r w:rsidRPr="00D908FB">
        <w:rPr>
          <w:rFonts w:ascii="Palatino Linotype" w:hAnsi="Palatino Linotype" w:cs="Arial"/>
        </w:rPr>
        <w:t>Antes de entrar al estudio de la presente resolución es preciso determinar si resulta procedente la interposición del recurso, toda vez que se actualiza la hipótesis prevista en el artículo 179, fracción VII de la ley de la materia, que a la letra dice:</w:t>
      </w:r>
    </w:p>
    <w:p w:rsidR="00352C44" w:rsidRPr="00D908FB" w:rsidRDefault="00352C44" w:rsidP="00352C44">
      <w:pPr>
        <w:ind w:left="992" w:right="1043"/>
        <w:jc w:val="both"/>
        <w:rPr>
          <w:rFonts w:ascii="Palatino Linotype" w:hAnsi="Palatino Linotype" w:cs="Arial"/>
          <w:i/>
        </w:rPr>
      </w:pPr>
      <w:r w:rsidRPr="00D908FB">
        <w:rPr>
          <w:rFonts w:ascii="Palatino Linotype" w:hAnsi="Palatino Linotype" w:cs="Arial"/>
          <w:bCs/>
          <w:i/>
          <w:sz w:val="22"/>
          <w:szCs w:val="22"/>
        </w:rPr>
        <w:t>“</w:t>
      </w:r>
      <w:r w:rsidRPr="00D908FB">
        <w:rPr>
          <w:rFonts w:ascii="Palatino Linotype" w:hAnsi="Palatino Linotype" w:cs="Arial"/>
          <w:b/>
          <w:bCs/>
          <w:i/>
          <w:sz w:val="22"/>
          <w:szCs w:val="22"/>
        </w:rPr>
        <w:t xml:space="preserve">Artículo 179. </w:t>
      </w:r>
      <w:r w:rsidRPr="00D908FB">
        <w:rPr>
          <w:rFonts w:ascii="Palatino Linotype" w:hAnsi="Palatino Linotype" w:cs="Arial"/>
          <w:i/>
          <w:sz w:val="22"/>
          <w:szCs w:val="22"/>
        </w:rPr>
        <w:t>El recurso de revisión es un medio de protección que la Ley otorga a los particulares, para hacer valer su derecho de acceso a la información pública, y procederá en contra de las siguientes causas:</w:t>
      </w:r>
    </w:p>
    <w:p w:rsidR="00352C44" w:rsidRPr="00D908FB" w:rsidRDefault="00352C44" w:rsidP="00352C44">
      <w:pPr>
        <w:ind w:left="992" w:right="1043"/>
        <w:jc w:val="both"/>
        <w:rPr>
          <w:rFonts w:ascii="Palatino Linotype" w:hAnsi="Palatino Linotype" w:cs="Arial"/>
          <w:i/>
        </w:rPr>
      </w:pPr>
      <w:r w:rsidRPr="00D908FB">
        <w:rPr>
          <w:rFonts w:ascii="Palatino Linotype" w:hAnsi="Palatino Linotype" w:cs="Arial"/>
          <w:b/>
          <w:bCs/>
          <w:i/>
          <w:sz w:val="22"/>
          <w:szCs w:val="22"/>
        </w:rPr>
        <w:t>. . .</w:t>
      </w:r>
    </w:p>
    <w:p w:rsidR="00352C44" w:rsidRPr="00D908FB" w:rsidRDefault="00352C44" w:rsidP="00352C44">
      <w:pPr>
        <w:ind w:left="992" w:right="1043"/>
        <w:jc w:val="both"/>
        <w:rPr>
          <w:rFonts w:ascii="Palatino Linotype" w:hAnsi="Palatino Linotype" w:cs="Arial"/>
          <w:i/>
        </w:rPr>
      </w:pPr>
      <w:r w:rsidRPr="00D908FB">
        <w:rPr>
          <w:rFonts w:ascii="Palatino Linotype" w:hAnsi="Palatino Linotype" w:cs="Arial"/>
          <w:b/>
          <w:bCs/>
          <w:i/>
          <w:sz w:val="22"/>
          <w:szCs w:val="22"/>
        </w:rPr>
        <w:t xml:space="preserve">VII. </w:t>
      </w:r>
      <w:r w:rsidRPr="00D908FB">
        <w:rPr>
          <w:rFonts w:ascii="Palatino Linotype" w:hAnsi="Palatino Linotype" w:cs="Arial"/>
          <w:i/>
          <w:sz w:val="22"/>
          <w:szCs w:val="22"/>
        </w:rPr>
        <w:t>La falta de respuesta a una solicitud de acceso a la información;”</w:t>
      </w:r>
    </w:p>
    <w:p w:rsidR="00352C44" w:rsidRPr="00D908FB" w:rsidRDefault="00352C44" w:rsidP="00352C44">
      <w:pPr>
        <w:spacing w:before="240" w:after="240" w:line="360" w:lineRule="auto"/>
        <w:jc w:val="both"/>
        <w:rPr>
          <w:rFonts w:ascii="Palatino Linotype" w:hAnsi="Palatino Linotype" w:cs="Arial"/>
        </w:rPr>
      </w:pPr>
      <w:r w:rsidRPr="00D908FB">
        <w:rPr>
          <w:rFonts w:ascii="Palatino Linotype" w:hAnsi="Palatino Linotype" w:cs="Arial"/>
        </w:rPr>
        <w:t xml:space="preserve">El precepto legal citado, establece como supuesto de procedencia del recurso de revisión, en aquellos casos en que el </w:t>
      </w:r>
      <w:r w:rsidRPr="00D908FB">
        <w:rPr>
          <w:rFonts w:ascii="Palatino Linotype" w:hAnsi="Palatino Linotype" w:cs="Arial"/>
          <w:b/>
        </w:rPr>
        <w:t xml:space="preserve">recurrente </w:t>
      </w:r>
      <w:r w:rsidRPr="00D908FB">
        <w:rPr>
          <w:rFonts w:ascii="Palatino Linotype" w:hAnsi="Palatino Linotype" w:cs="Arial"/>
        </w:rPr>
        <w:t xml:space="preserve">estime negado el acceso a la información por la falta de respuesta por el </w:t>
      </w:r>
      <w:r w:rsidRPr="00D908FB">
        <w:rPr>
          <w:rFonts w:ascii="Palatino Linotype" w:hAnsi="Palatino Linotype" w:cs="Arial"/>
          <w:b/>
        </w:rPr>
        <w:t>Sujeto Obligado,</w:t>
      </w:r>
      <w:r w:rsidRPr="00D908FB">
        <w:rPr>
          <w:rFonts w:ascii="Palatino Linotype" w:hAnsi="Palatino Linotype" w:cs="Arial"/>
        </w:rPr>
        <w:t xml:space="preserve"> lue</w:t>
      </w:r>
      <w:r w:rsidR="00680C3E">
        <w:rPr>
          <w:rFonts w:ascii="Palatino Linotype" w:hAnsi="Palatino Linotype" w:cs="Arial"/>
        </w:rPr>
        <w:t>go, en este asunto se actualiza</w:t>
      </w:r>
      <w:r w:rsidRPr="00D908FB">
        <w:rPr>
          <w:rFonts w:ascii="Palatino Linotype" w:hAnsi="Palatino Linotype" w:cs="Arial"/>
        </w:rPr>
        <w:t xml:space="preserve"> </w:t>
      </w:r>
      <w:r w:rsidR="00680C3E">
        <w:rPr>
          <w:rFonts w:ascii="Palatino Linotype" w:hAnsi="Palatino Linotype" w:cs="Arial"/>
        </w:rPr>
        <w:t>la hipótesis jurídica citada</w:t>
      </w:r>
      <w:r w:rsidRPr="00D908FB">
        <w:rPr>
          <w:rFonts w:ascii="Palatino Linotype" w:hAnsi="Palatino Linotype" w:cs="Arial"/>
        </w:rPr>
        <w:t xml:space="preserve">, en atención a que el </w:t>
      </w:r>
      <w:r w:rsidRPr="00D908FB">
        <w:rPr>
          <w:rFonts w:ascii="Palatino Linotype" w:hAnsi="Palatino Linotype" w:cs="Arial"/>
          <w:b/>
        </w:rPr>
        <w:t xml:space="preserve">recurrente </w:t>
      </w:r>
      <w:r w:rsidRPr="00D908FB">
        <w:rPr>
          <w:rFonts w:ascii="Palatino Linotype" w:hAnsi="Palatino Linotype" w:cs="Arial"/>
        </w:rPr>
        <w:t xml:space="preserve">combate falta de trámite por el </w:t>
      </w:r>
      <w:r w:rsidRPr="00D908FB">
        <w:rPr>
          <w:rFonts w:ascii="Palatino Linotype" w:hAnsi="Palatino Linotype" w:cs="Arial"/>
          <w:b/>
        </w:rPr>
        <w:t xml:space="preserve">Sujeto Obligado </w:t>
      </w:r>
      <w:r w:rsidRPr="00D908FB">
        <w:rPr>
          <w:rFonts w:ascii="Palatino Linotype" w:hAnsi="Palatino Linotype" w:cs="Arial"/>
        </w:rPr>
        <w:t>y expresa motivos de inconformidad en contra de ella.</w:t>
      </w:r>
    </w:p>
    <w:p w:rsidR="00352C44" w:rsidRPr="00D908FB" w:rsidRDefault="00352C44" w:rsidP="00352C44">
      <w:pPr>
        <w:spacing w:before="240" w:after="240" w:line="360" w:lineRule="auto"/>
        <w:jc w:val="both"/>
        <w:rPr>
          <w:rFonts w:ascii="Palatino Linotype" w:hAnsi="Palatino Linotype" w:cs="Arial"/>
        </w:rPr>
      </w:pPr>
      <w:r w:rsidRPr="00D908FB">
        <w:rPr>
          <w:rFonts w:ascii="Palatino Linotype" w:hAnsi="Palatino Linotype" w:cs="Arial"/>
        </w:rPr>
        <w:t xml:space="preserve">Una vez determinada la vía sobre la que versará el presente recurso, y previa revisión del expediente electrónico formado en </w:t>
      </w:r>
      <w:r w:rsidRPr="00D908FB">
        <w:rPr>
          <w:rFonts w:ascii="Palatino Linotype" w:hAnsi="Palatino Linotype" w:cs="Arial"/>
          <w:b/>
        </w:rPr>
        <w:t>EL SAIMEX</w:t>
      </w:r>
      <w:r w:rsidRPr="00D908FB">
        <w:rPr>
          <w:rFonts w:ascii="Palatino Linotype" w:hAnsi="Palatino Linotype" w:cs="Arial"/>
        </w:rPr>
        <w:t xml:space="preserve"> por motivo de la solicitud de información y del recurso al rubro anotado se observa que el </w:t>
      </w:r>
      <w:r w:rsidRPr="00D908FB">
        <w:rPr>
          <w:rFonts w:ascii="Palatino Linotype" w:hAnsi="Palatino Linotype" w:cs="Arial"/>
          <w:b/>
        </w:rPr>
        <w:t xml:space="preserve">Sujeto Obligado </w:t>
      </w:r>
      <w:r w:rsidRPr="00D908FB">
        <w:rPr>
          <w:rFonts w:ascii="Palatino Linotype" w:hAnsi="Palatino Linotype" w:cs="Arial"/>
        </w:rPr>
        <w:t>no dio respuesta a la solicitud de información planteada por el</w:t>
      </w:r>
      <w:r w:rsidRPr="00D908FB">
        <w:rPr>
          <w:rFonts w:ascii="Palatino Linotype" w:hAnsi="Palatino Linotype" w:cs="Arial"/>
          <w:b/>
        </w:rPr>
        <w:t xml:space="preserve"> recurrente</w:t>
      </w:r>
      <w:r w:rsidRPr="00D908FB">
        <w:rPr>
          <w:rFonts w:ascii="Palatino Linotype" w:hAnsi="Palatino Linotype" w:cs="Arial"/>
        </w:rPr>
        <w:t xml:space="preserve">, lo que se traduce como la configuración de la </w:t>
      </w:r>
      <w:r w:rsidRPr="00D908FB">
        <w:rPr>
          <w:rFonts w:ascii="Palatino Linotype" w:hAnsi="Palatino Linotype" w:cs="Arial"/>
          <w:b/>
        </w:rPr>
        <w:t>NEGATIVA FICTA</w:t>
      </w:r>
      <w:r w:rsidRPr="00D908FB">
        <w:rPr>
          <w:rFonts w:ascii="Palatino Linotype" w:hAnsi="Palatino Linotype" w:cs="Arial"/>
        </w:rPr>
        <w:t xml:space="preserve">, situación que demuestra la existencia del acto impugnado y procedencia de los motivos de inconformidad, consistentes en: </w:t>
      </w:r>
    </w:p>
    <w:p w:rsidR="00352C44" w:rsidRPr="00D908FB" w:rsidRDefault="00352C44" w:rsidP="00352C44">
      <w:pPr>
        <w:pStyle w:val="Prrafodelista"/>
        <w:ind w:left="1077" w:right="1043"/>
        <w:jc w:val="both"/>
        <w:rPr>
          <w:rFonts w:ascii="Palatino Linotype" w:hAnsi="Palatino Linotype" w:cs="Arial"/>
          <w:i/>
        </w:rPr>
      </w:pPr>
      <w:r w:rsidRPr="00D908FB">
        <w:rPr>
          <w:rFonts w:ascii="Palatino Linotype" w:hAnsi="Palatino Linotype" w:cs="Arial"/>
          <w:bCs/>
          <w:i/>
        </w:rPr>
        <w:t xml:space="preserve"> “</w:t>
      </w:r>
      <w:r w:rsidR="00680C3E" w:rsidRPr="00680C3E">
        <w:rPr>
          <w:rFonts w:ascii="Palatino Linotype" w:hAnsi="Palatino Linotype"/>
          <w:i/>
          <w:lang w:val="es-ES"/>
        </w:rPr>
        <w:t>NO SE DIO RESPUESTA A LO SOLICITADO</w:t>
      </w:r>
      <w:r w:rsidRPr="00D908FB">
        <w:rPr>
          <w:rFonts w:ascii="Palatino Linotype" w:hAnsi="Palatino Linotype"/>
          <w:i/>
        </w:rPr>
        <w:t>.</w:t>
      </w:r>
      <w:r w:rsidRPr="00D908FB">
        <w:rPr>
          <w:rFonts w:ascii="Palatino Linotype" w:hAnsi="Palatino Linotype" w:cs="Arial"/>
          <w:i/>
        </w:rPr>
        <w:t>” (</w:t>
      </w:r>
      <w:proofErr w:type="gramStart"/>
      <w:r w:rsidRPr="00D908FB">
        <w:rPr>
          <w:rFonts w:ascii="Palatino Linotype" w:hAnsi="Palatino Linotype" w:cs="Arial"/>
          <w:i/>
        </w:rPr>
        <w:t>sic</w:t>
      </w:r>
      <w:proofErr w:type="gramEnd"/>
      <w:r w:rsidRPr="00D908FB">
        <w:rPr>
          <w:rFonts w:ascii="Palatino Linotype" w:hAnsi="Palatino Linotype" w:cs="Arial"/>
          <w:i/>
        </w:rPr>
        <w:t>)</w:t>
      </w:r>
    </w:p>
    <w:p w:rsidR="00352C44" w:rsidRPr="00D908FB" w:rsidRDefault="00352C44" w:rsidP="00352C44">
      <w:pPr>
        <w:spacing w:before="240" w:after="240" w:line="360" w:lineRule="auto"/>
        <w:jc w:val="both"/>
        <w:rPr>
          <w:rFonts w:ascii="Palatino Linotype" w:hAnsi="Palatino Linotype" w:cs="Arial"/>
        </w:rPr>
      </w:pPr>
      <w:r w:rsidRPr="00D908FB">
        <w:rPr>
          <w:rFonts w:ascii="Palatino Linotype" w:hAnsi="Palatino Linotype" w:cs="Arial"/>
        </w:rPr>
        <w:lastRenderedPageBreak/>
        <w:t xml:space="preserve">Lo anterior, en virtud de que el </w:t>
      </w:r>
      <w:r w:rsidRPr="00D908FB">
        <w:rPr>
          <w:rFonts w:ascii="Palatino Linotype" w:hAnsi="Palatino Linotype" w:cs="Arial"/>
          <w:b/>
        </w:rPr>
        <w:t xml:space="preserve">Sujeto Obligado </w:t>
      </w:r>
      <w:r w:rsidRPr="00D908FB">
        <w:rPr>
          <w:rFonts w:ascii="Palatino Linotype" w:hAnsi="Palatino Linotype" w:cs="Arial"/>
        </w:rPr>
        <w:t xml:space="preserve">no respondió al </w:t>
      </w:r>
      <w:r w:rsidRPr="00D908FB">
        <w:rPr>
          <w:rFonts w:ascii="Palatino Linotype" w:hAnsi="Palatino Linotype" w:cs="Arial"/>
          <w:b/>
        </w:rPr>
        <w:t xml:space="preserve">recurrente </w:t>
      </w:r>
      <w:r w:rsidRPr="00D908FB">
        <w:rPr>
          <w:rFonts w:ascii="Palatino Linotype" w:hAnsi="Palatino Linotype" w:cs="Arial"/>
        </w:rPr>
        <w:t>en tiempo y forma, dentro del plazo legal previsto para ello, respecto de la solicitud de acceso a la información pública que da origen al presente asunto.</w:t>
      </w:r>
    </w:p>
    <w:p w:rsidR="00352C44" w:rsidRPr="00D908FB" w:rsidRDefault="00352C44" w:rsidP="00352C44">
      <w:pPr>
        <w:spacing w:before="240" w:after="240" w:line="360" w:lineRule="auto"/>
        <w:jc w:val="both"/>
        <w:rPr>
          <w:rFonts w:ascii="Palatino Linotype" w:hAnsi="Palatino Linotype" w:cs="Arial"/>
        </w:rPr>
      </w:pPr>
      <w:r w:rsidRPr="00D908FB">
        <w:rPr>
          <w:rFonts w:ascii="Palatino Linotype" w:hAnsi="Palatino Linotype" w:cs="Arial"/>
        </w:rPr>
        <w:t>Previo a exponer los argumentos que justifiquen la afirmación que antecede, es necesario precisar que del análisis realizado a la solicitud formulada</w:t>
      </w:r>
      <w:r w:rsidR="00680C3E">
        <w:rPr>
          <w:rFonts w:ascii="Palatino Linotype" w:hAnsi="Palatino Linotype" w:cs="Arial"/>
        </w:rPr>
        <w:t xml:space="preserve"> por </w:t>
      </w:r>
      <w:r w:rsidRPr="00D908FB">
        <w:rPr>
          <w:rFonts w:ascii="Palatino Linotype" w:hAnsi="Palatino Linotype" w:cs="Arial"/>
        </w:rPr>
        <w:t>l</w:t>
      </w:r>
      <w:r w:rsidR="00680C3E">
        <w:rPr>
          <w:rFonts w:ascii="Palatino Linotype" w:hAnsi="Palatino Linotype" w:cs="Arial"/>
        </w:rPr>
        <w:t>a</w:t>
      </w:r>
      <w:r w:rsidRPr="00D908FB">
        <w:rPr>
          <w:rFonts w:ascii="Palatino Linotype" w:hAnsi="Palatino Linotype" w:cs="Arial"/>
        </w:rPr>
        <w:t xml:space="preserve"> </w:t>
      </w:r>
      <w:r w:rsidRPr="00D908FB">
        <w:rPr>
          <w:rFonts w:ascii="Palatino Linotype" w:hAnsi="Palatino Linotype" w:cs="Arial"/>
          <w:b/>
        </w:rPr>
        <w:t xml:space="preserve">recurrente, </w:t>
      </w:r>
      <w:r w:rsidRPr="00D908FB">
        <w:rPr>
          <w:rFonts w:ascii="Palatino Linotype" w:hAnsi="Palatino Linotype" w:cs="Arial"/>
        </w:rPr>
        <w:t xml:space="preserve">se advierte que requirió al Ayuntamiento de </w:t>
      </w:r>
      <w:r w:rsidR="00680C3E">
        <w:rPr>
          <w:rFonts w:ascii="Palatino Linotype" w:hAnsi="Palatino Linotype" w:cs="Arial"/>
        </w:rPr>
        <w:t xml:space="preserve">Isidro Fabela </w:t>
      </w:r>
      <w:r w:rsidRPr="00D908FB">
        <w:rPr>
          <w:rFonts w:ascii="Palatino Linotype" w:hAnsi="Palatino Linotype" w:cs="Arial"/>
        </w:rPr>
        <w:t xml:space="preserve">que le proporcionara </w:t>
      </w:r>
      <w:r w:rsidR="00680C3E">
        <w:rPr>
          <w:rFonts w:ascii="Palatino Linotype" w:hAnsi="Palatino Linotype" w:cs="Arial"/>
        </w:rPr>
        <w:t xml:space="preserve">el </w:t>
      </w:r>
      <w:r w:rsidR="00680C3E" w:rsidRPr="00680C3E">
        <w:rPr>
          <w:rFonts w:ascii="Palatino Linotype" w:hAnsi="Palatino Linotype" w:cs="Arial"/>
        </w:rPr>
        <w:t xml:space="preserve">salario bruto y neto mensual que percibe el </w:t>
      </w:r>
      <w:r w:rsidR="00680C3E">
        <w:rPr>
          <w:rFonts w:ascii="Palatino Linotype" w:hAnsi="Palatino Linotype" w:cs="Arial"/>
        </w:rPr>
        <w:t>Presidente Municipal, Sindico y Regidores.</w:t>
      </w:r>
      <w:r w:rsidRPr="00D908FB">
        <w:rPr>
          <w:rFonts w:ascii="Palatino Linotype" w:hAnsi="Palatino Linotype" w:cs="Arial"/>
        </w:rPr>
        <w:t xml:space="preserve"> </w:t>
      </w:r>
    </w:p>
    <w:p w:rsidR="00352C44" w:rsidRPr="00D908FB" w:rsidRDefault="00352C44" w:rsidP="00352C44">
      <w:pPr>
        <w:spacing w:before="240" w:after="240" w:line="360" w:lineRule="auto"/>
        <w:jc w:val="both"/>
        <w:rPr>
          <w:rFonts w:ascii="Palatino Linotype" w:hAnsi="Palatino Linotype" w:cs="Arial"/>
        </w:rPr>
      </w:pPr>
      <w:r w:rsidRPr="00D908FB">
        <w:rPr>
          <w:rFonts w:ascii="Palatino Linotype" w:hAnsi="Palatino Linotype" w:cs="Arial"/>
        </w:rPr>
        <w:t>Una vez precisado lo anterior, se procede al análisis del presente recurso, así como al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artículo 8 de la Ley de Transparencia local.</w:t>
      </w:r>
    </w:p>
    <w:p w:rsidR="00352C44" w:rsidRPr="00D908FB" w:rsidRDefault="00352C44" w:rsidP="00352C44">
      <w:pPr>
        <w:tabs>
          <w:tab w:val="left" w:pos="709"/>
        </w:tabs>
        <w:spacing w:line="360" w:lineRule="auto"/>
        <w:jc w:val="both"/>
        <w:rPr>
          <w:rFonts w:ascii="Palatino Linotype" w:hAnsi="Palatino Linotype"/>
        </w:rPr>
      </w:pPr>
      <w:r w:rsidRPr="00D908FB">
        <w:rPr>
          <w:rFonts w:ascii="Palatino Linotype" w:hAnsi="Palatino Linotype" w:cs="Arial"/>
        </w:rPr>
        <w:t xml:space="preserve">Primeramente, es </w:t>
      </w:r>
      <w:r w:rsidRPr="00D908FB">
        <w:rPr>
          <w:rFonts w:ascii="Palatino Linotype" w:hAnsi="Palatino Linotype"/>
        </w:rPr>
        <w:t xml:space="preserve">menester mencionar que </w:t>
      </w:r>
      <w:r w:rsidRPr="00D908FB">
        <w:rPr>
          <w:rFonts w:ascii="Palatino Linotype" w:hAnsi="Palatino Linotype" w:cs="Arial"/>
        </w:rPr>
        <w:t>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rsidR="00352C44" w:rsidRPr="00D908FB" w:rsidRDefault="00352C44" w:rsidP="00352C44">
      <w:pPr>
        <w:tabs>
          <w:tab w:val="left" w:pos="709"/>
        </w:tabs>
        <w:ind w:left="851" w:right="850"/>
        <w:jc w:val="both"/>
        <w:rPr>
          <w:rFonts w:ascii="Palatino Linotype" w:hAnsi="Palatino Linotype" w:cs="Arial"/>
        </w:rPr>
      </w:pPr>
    </w:p>
    <w:p w:rsidR="00352C44" w:rsidRPr="00D908FB" w:rsidRDefault="00352C44" w:rsidP="00352C44">
      <w:pPr>
        <w:tabs>
          <w:tab w:val="left" w:pos="709"/>
        </w:tabs>
        <w:ind w:left="851" w:right="850"/>
        <w:jc w:val="both"/>
        <w:rPr>
          <w:rFonts w:ascii="Palatino Linotype" w:hAnsi="Palatino Linotype" w:cs="Arial"/>
          <w:i/>
          <w:sz w:val="22"/>
          <w:szCs w:val="22"/>
        </w:rPr>
      </w:pPr>
      <w:r w:rsidRPr="00D908FB">
        <w:rPr>
          <w:rFonts w:ascii="Palatino Linotype" w:hAnsi="Palatino Linotype"/>
          <w:b/>
          <w:i/>
          <w:sz w:val="22"/>
          <w:szCs w:val="22"/>
          <w:u w:val="single"/>
        </w:rPr>
        <w:lastRenderedPageBreak/>
        <w:t>Artículo 1o. En los Estados Unidos Mexicanos todas las personas gozarán de los derechos humanos reconocidos en esta Constitución y en los tratados internacionales de los que el Estado Mexicano sea parte</w:t>
      </w:r>
      <w:r w:rsidRPr="00D908FB">
        <w:rPr>
          <w:rFonts w:ascii="Palatino Linotype" w:hAnsi="Palatino Linotype"/>
          <w:i/>
          <w:sz w:val="22"/>
          <w:szCs w:val="22"/>
        </w:rPr>
        <w:t>, así como de las garantías para su protección, cuyo ejercicio no podrá restringirse ni suspenderse, salvo en los casos y bajo las condiciones que esta Constitución establece.</w:t>
      </w:r>
    </w:p>
    <w:p w:rsidR="00352C44" w:rsidRPr="00D908FB" w:rsidRDefault="00352C44" w:rsidP="00352C44">
      <w:pPr>
        <w:tabs>
          <w:tab w:val="left" w:pos="709"/>
        </w:tabs>
        <w:ind w:left="851" w:right="850"/>
        <w:jc w:val="both"/>
        <w:rPr>
          <w:rFonts w:ascii="Palatino Linotype" w:hAnsi="Palatino Linotype"/>
          <w:b/>
          <w:i/>
          <w:sz w:val="22"/>
          <w:szCs w:val="22"/>
        </w:rPr>
      </w:pPr>
      <w:r w:rsidRPr="00D908FB">
        <w:rPr>
          <w:rFonts w:ascii="Palatino Linotype" w:hAnsi="Palatino Linotype"/>
          <w:b/>
          <w:i/>
          <w:sz w:val="22"/>
          <w:szCs w:val="22"/>
        </w:rPr>
        <w:t>Las normas relativas a los derechos humanos se interpretarán de conformidad con esta Constitución y con los tratados internacionales de la materia favoreciendo en todo tiempo a las personas la protección más amplia.</w:t>
      </w:r>
    </w:p>
    <w:p w:rsidR="00352C44" w:rsidRPr="00D908FB" w:rsidRDefault="00352C44" w:rsidP="00352C44">
      <w:pPr>
        <w:tabs>
          <w:tab w:val="left" w:pos="709"/>
        </w:tabs>
        <w:ind w:left="851" w:right="850"/>
        <w:jc w:val="both"/>
        <w:rPr>
          <w:rFonts w:ascii="Palatino Linotype" w:hAnsi="Palatino Linotype"/>
          <w:i/>
          <w:sz w:val="22"/>
          <w:szCs w:val="22"/>
        </w:rPr>
      </w:pPr>
      <w:r w:rsidRPr="00D908FB">
        <w:rPr>
          <w:rFonts w:ascii="Palatino Linotype" w:hAnsi="Palatino Linotype"/>
          <w:b/>
          <w:i/>
          <w:sz w:val="22"/>
          <w:szCs w:val="22"/>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D908FB">
        <w:rPr>
          <w:rFonts w:ascii="Palatino Linotype" w:hAnsi="Palatino Linotype"/>
          <w:i/>
          <w:sz w:val="22"/>
          <w:szCs w:val="22"/>
        </w:rPr>
        <w:t xml:space="preserve"> En consecuencia, el Estado deberá prevenir, investigar, sancionar y reparar las violaciones a los derechos humanos, en los términos que establezca la ley</w:t>
      </w:r>
    </w:p>
    <w:p w:rsidR="00352C44" w:rsidRPr="00D908FB" w:rsidRDefault="00352C44" w:rsidP="00352C44">
      <w:pPr>
        <w:tabs>
          <w:tab w:val="left" w:pos="709"/>
        </w:tabs>
        <w:ind w:left="851" w:right="850"/>
        <w:jc w:val="both"/>
        <w:rPr>
          <w:rFonts w:ascii="Palatino Linotype" w:hAnsi="Palatino Linotype" w:cs="Arial"/>
          <w:i/>
          <w:sz w:val="22"/>
          <w:szCs w:val="22"/>
        </w:rPr>
      </w:pPr>
      <w:r w:rsidRPr="00D908FB">
        <w:rPr>
          <w:rFonts w:ascii="Palatino Linotype" w:hAnsi="Palatino Linotype" w:cs="Arial"/>
          <w:i/>
          <w:sz w:val="22"/>
          <w:szCs w:val="22"/>
        </w:rPr>
        <w:t>[…]</w:t>
      </w:r>
    </w:p>
    <w:p w:rsidR="00352C44" w:rsidRPr="00D908FB" w:rsidRDefault="00352C44" w:rsidP="00352C44">
      <w:pPr>
        <w:ind w:left="851" w:right="901"/>
        <w:jc w:val="both"/>
        <w:rPr>
          <w:rFonts w:ascii="Palatino Linotype" w:hAnsi="Palatino Linotype" w:cs="Arial"/>
          <w:i/>
          <w:sz w:val="22"/>
          <w:szCs w:val="22"/>
        </w:rPr>
      </w:pPr>
      <w:r w:rsidRPr="00D908FB">
        <w:rPr>
          <w:rFonts w:ascii="Palatino Linotype" w:hAnsi="Palatino Linotype" w:cs="Arial"/>
          <w:b/>
          <w:i/>
          <w:sz w:val="22"/>
          <w:szCs w:val="22"/>
        </w:rPr>
        <w:t>“Artículo 6o.</w:t>
      </w:r>
    </w:p>
    <w:p w:rsidR="00352C44" w:rsidRPr="00D908FB" w:rsidRDefault="00352C44" w:rsidP="00352C44">
      <w:pPr>
        <w:ind w:left="851" w:right="901"/>
        <w:jc w:val="both"/>
        <w:rPr>
          <w:rFonts w:ascii="Palatino Linotype" w:hAnsi="Palatino Linotype" w:cs="Arial"/>
          <w:i/>
          <w:sz w:val="22"/>
          <w:szCs w:val="22"/>
        </w:rPr>
      </w:pPr>
      <w:r w:rsidRPr="00D908FB">
        <w:rPr>
          <w:rFonts w:ascii="Palatino Linotype" w:hAnsi="Palatino Linotype" w:cs="Arial"/>
          <w:i/>
          <w:sz w:val="22"/>
          <w:szCs w:val="22"/>
        </w:rPr>
        <w:t>[...]</w:t>
      </w:r>
    </w:p>
    <w:p w:rsidR="00352C44" w:rsidRPr="00D908FB" w:rsidRDefault="00352C44" w:rsidP="00352C44">
      <w:pPr>
        <w:ind w:left="851" w:right="851"/>
        <w:jc w:val="both"/>
        <w:rPr>
          <w:rFonts w:ascii="Palatino Linotype" w:hAnsi="Palatino Linotype" w:cs="Arial"/>
          <w:i/>
          <w:sz w:val="22"/>
          <w:szCs w:val="22"/>
          <w:lang w:eastAsia="es-MX"/>
        </w:rPr>
      </w:pPr>
      <w:r w:rsidRPr="00D908FB">
        <w:rPr>
          <w:rFonts w:ascii="Palatino Linotype" w:hAnsi="Palatino Linotype" w:cs="Arial"/>
          <w:b/>
          <w:bCs/>
          <w:i/>
          <w:sz w:val="22"/>
          <w:szCs w:val="22"/>
          <w:lang w:val="es-ES_tradnl" w:eastAsia="es-MX"/>
        </w:rPr>
        <w:t>A. </w:t>
      </w:r>
      <w:r w:rsidRPr="00D908FB">
        <w:rPr>
          <w:rFonts w:ascii="Palatino Linotype" w:hAnsi="Palatino Linotype"/>
          <w:b/>
          <w:i/>
          <w:sz w:val="22"/>
          <w:szCs w:val="22"/>
        </w:rPr>
        <w:t xml:space="preserve">Para el ejercicio del derecho de acceso a la información, la Federación y </w:t>
      </w:r>
      <w:r w:rsidRPr="00D908FB">
        <w:rPr>
          <w:rFonts w:ascii="Palatino Linotype" w:hAnsi="Palatino Linotype"/>
          <w:b/>
          <w:i/>
          <w:sz w:val="22"/>
          <w:szCs w:val="22"/>
          <w:u w:val="single"/>
        </w:rPr>
        <w:t>las entidades federativas</w:t>
      </w:r>
      <w:r w:rsidRPr="00D908FB">
        <w:rPr>
          <w:rFonts w:ascii="Palatino Linotype" w:hAnsi="Palatino Linotype"/>
          <w:b/>
          <w:i/>
          <w:sz w:val="22"/>
          <w:szCs w:val="22"/>
        </w:rPr>
        <w:t>,</w:t>
      </w:r>
      <w:r w:rsidRPr="00D908FB">
        <w:rPr>
          <w:rFonts w:ascii="Palatino Linotype" w:hAnsi="Palatino Linotype"/>
          <w:i/>
          <w:sz w:val="22"/>
          <w:szCs w:val="22"/>
        </w:rPr>
        <w:t xml:space="preserve"> en el ámbito de sus respectivas competencias, se regirán por los siguientes principios y bases:</w:t>
      </w:r>
    </w:p>
    <w:p w:rsidR="00352C44" w:rsidRPr="00D908FB" w:rsidRDefault="00352C44" w:rsidP="00352C44">
      <w:pPr>
        <w:ind w:left="851" w:right="851"/>
        <w:jc w:val="both"/>
        <w:rPr>
          <w:rFonts w:ascii="Palatino Linotype" w:hAnsi="Palatino Linotype" w:cs="Arial"/>
          <w:i/>
          <w:sz w:val="22"/>
          <w:szCs w:val="22"/>
          <w:lang w:eastAsia="es-MX"/>
        </w:rPr>
      </w:pPr>
      <w:r w:rsidRPr="00D908FB">
        <w:rPr>
          <w:rFonts w:ascii="Palatino Linotype" w:hAnsi="Palatino Linotype" w:cs="Arial"/>
          <w:i/>
          <w:sz w:val="22"/>
          <w:szCs w:val="22"/>
          <w:lang w:eastAsia="es-MX"/>
        </w:rPr>
        <w:t> </w:t>
      </w:r>
    </w:p>
    <w:p w:rsidR="00352C44" w:rsidRPr="00D908FB" w:rsidRDefault="00352C44" w:rsidP="00352C44">
      <w:pPr>
        <w:ind w:left="851" w:right="851"/>
        <w:jc w:val="both"/>
        <w:rPr>
          <w:rFonts w:ascii="Palatino Linotype" w:hAnsi="Palatino Linotype" w:cs="Courier New"/>
          <w:i/>
          <w:sz w:val="22"/>
          <w:szCs w:val="22"/>
          <w:lang w:eastAsia="es-MX"/>
        </w:rPr>
      </w:pPr>
      <w:r w:rsidRPr="00D908FB">
        <w:rPr>
          <w:rFonts w:ascii="Palatino Linotype" w:hAnsi="Palatino Linotype" w:cs="Arial"/>
          <w:b/>
          <w:bCs/>
          <w:i/>
          <w:sz w:val="22"/>
          <w:szCs w:val="22"/>
          <w:lang w:eastAsia="es-MX"/>
        </w:rPr>
        <w:t xml:space="preserve">I. </w:t>
      </w:r>
      <w:r w:rsidRPr="00D908FB">
        <w:rPr>
          <w:rFonts w:ascii="Palatino Linotype" w:hAnsi="Palatino Linotype" w:cs="Arial"/>
          <w:b/>
          <w:i/>
          <w:sz w:val="22"/>
          <w:szCs w:val="22"/>
          <w:u w:val="single"/>
          <w:lang w:eastAsia="es-MX"/>
        </w:rPr>
        <w:t>Toda la información en posesión de cualquier autoridad, entidad, órgano y organismo de los Poderes</w:t>
      </w:r>
      <w:r w:rsidRPr="00D908FB">
        <w:rPr>
          <w:rFonts w:ascii="Palatino Linotype" w:hAnsi="Palatino Linotype" w:cs="Arial"/>
          <w:i/>
          <w:sz w:val="22"/>
          <w:szCs w:val="22"/>
          <w:lang w:eastAsia="es-MX"/>
        </w:rPr>
        <w:t xml:space="preserve"> Ejecutivo, Legislativo </w:t>
      </w:r>
      <w:r w:rsidRPr="00D908FB">
        <w:rPr>
          <w:rFonts w:ascii="Palatino Linotype" w:hAnsi="Palatino Linotype" w:cs="Arial"/>
          <w:b/>
          <w:i/>
          <w:sz w:val="22"/>
          <w:szCs w:val="22"/>
          <w:u w:val="single"/>
          <w:lang w:eastAsia="es-MX"/>
        </w:rPr>
        <w:t>y Judicial</w:t>
      </w:r>
      <w:r w:rsidRPr="00D908FB">
        <w:rPr>
          <w:rFonts w:ascii="Palatino Linotype" w:hAnsi="Palatino Linotype" w:cs="Arial"/>
          <w:i/>
          <w:sz w:val="22"/>
          <w:szCs w:val="22"/>
          <w:lang w:eastAsia="es-MX"/>
        </w:rPr>
        <w:t xml:space="preserve">, órganos autónomos, partidos políticos, fideicomisos y fondos públicos, así como de cualquier persona física, moral o sindicato que reciba y ejerza recursos públicos o realice actos de autoridad en el ámbito federal, estatal y municipal, </w:t>
      </w:r>
      <w:r w:rsidRPr="00D908FB">
        <w:rPr>
          <w:rFonts w:ascii="Palatino Linotype" w:hAnsi="Palatino Linotype" w:cs="Arial"/>
          <w:b/>
          <w:i/>
          <w:sz w:val="22"/>
          <w:szCs w:val="22"/>
          <w:lang w:eastAsia="es-MX"/>
        </w:rPr>
        <w:t>es pública y sólo podrá ser reservada temporalmente por razones de interés público y seguridad nacional,</w:t>
      </w:r>
      <w:r w:rsidRPr="00D908FB">
        <w:rPr>
          <w:rFonts w:ascii="Palatino Linotype" w:hAnsi="Palatino Linotype" w:cs="Arial"/>
          <w:i/>
          <w:sz w:val="22"/>
          <w:szCs w:val="22"/>
          <w:lang w:eastAsia="es-MX"/>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352C44" w:rsidRPr="00D908FB" w:rsidRDefault="00352C44" w:rsidP="00352C44">
      <w:pPr>
        <w:ind w:left="851" w:right="851"/>
        <w:jc w:val="both"/>
        <w:rPr>
          <w:rFonts w:ascii="Palatino Linotype" w:hAnsi="Palatino Linotype" w:cs="Arial"/>
          <w:i/>
          <w:sz w:val="22"/>
          <w:szCs w:val="22"/>
          <w:lang w:eastAsia="es-MX"/>
        </w:rPr>
      </w:pPr>
      <w:r w:rsidRPr="00D908FB">
        <w:rPr>
          <w:rFonts w:ascii="Palatino Linotype" w:hAnsi="Palatino Linotype" w:cs="Arial"/>
          <w:i/>
          <w:sz w:val="22"/>
          <w:szCs w:val="22"/>
          <w:lang w:eastAsia="es-MX"/>
        </w:rPr>
        <w:t> </w:t>
      </w:r>
    </w:p>
    <w:p w:rsidR="00352C44" w:rsidRPr="00D908FB" w:rsidRDefault="00352C44" w:rsidP="00352C44">
      <w:pPr>
        <w:ind w:left="851" w:right="851"/>
        <w:jc w:val="both"/>
        <w:rPr>
          <w:rFonts w:ascii="Palatino Linotype" w:hAnsi="Palatino Linotype" w:cs="Arial"/>
          <w:b/>
          <w:i/>
          <w:sz w:val="22"/>
          <w:szCs w:val="22"/>
          <w:lang w:eastAsia="es-MX"/>
        </w:rPr>
      </w:pPr>
      <w:r w:rsidRPr="00D908FB">
        <w:rPr>
          <w:rFonts w:ascii="Palatino Linotype" w:hAnsi="Palatino Linotype" w:cs="Arial"/>
          <w:b/>
          <w:bCs/>
          <w:i/>
          <w:sz w:val="22"/>
          <w:szCs w:val="22"/>
          <w:lang w:eastAsia="es-MX"/>
        </w:rPr>
        <w:t xml:space="preserve">II. </w:t>
      </w:r>
      <w:r w:rsidRPr="00D908FB">
        <w:rPr>
          <w:rFonts w:ascii="Palatino Linotype" w:hAnsi="Palatino Linotype" w:cs="Arial"/>
          <w:b/>
          <w:i/>
          <w:sz w:val="22"/>
          <w:szCs w:val="22"/>
          <w:lang w:eastAsia="es-MX"/>
        </w:rPr>
        <w:t>La información que se refiere a la vida privada y los datos personales será protegida en los términos y con las excepciones que fijen las leyes.</w:t>
      </w:r>
    </w:p>
    <w:p w:rsidR="00352C44" w:rsidRPr="00D908FB" w:rsidRDefault="00352C44" w:rsidP="00352C44">
      <w:pPr>
        <w:ind w:left="851" w:right="851"/>
        <w:jc w:val="both"/>
        <w:rPr>
          <w:rFonts w:ascii="Palatino Linotype" w:hAnsi="Palatino Linotype" w:cs="Arial"/>
          <w:i/>
          <w:sz w:val="22"/>
          <w:szCs w:val="22"/>
          <w:lang w:eastAsia="es-MX"/>
        </w:rPr>
      </w:pPr>
      <w:r w:rsidRPr="00D908FB">
        <w:rPr>
          <w:rFonts w:ascii="Palatino Linotype" w:hAnsi="Palatino Linotype" w:cs="Arial"/>
          <w:i/>
          <w:sz w:val="22"/>
          <w:szCs w:val="22"/>
          <w:lang w:eastAsia="es-MX"/>
        </w:rPr>
        <w:t> </w:t>
      </w:r>
    </w:p>
    <w:p w:rsidR="00352C44" w:rsidRPr="00D908FB" w:rsidRDefault="00352C44" w:rsidP="00352C44">
      <w:pPr>
        <w:ind w:left="851" w:right="851"/>
        <w:jc w:val="both"/>
        <w:rPr>
          <w:rFonts w:ascii="Palatino Linotype" w:hAnsi="Palatino Linotype" w:cs="Arial"/>
          <w:i/>
          <w:sz w:val="22"/>
          <w:szCs w:val="22"/>
          <w:lang w:eastAsia="es-MX"/>
        </w:rPr>
      </w:pPr>
      <w:r w:rsidRPr="00D908FB">
        <w:rPr>
          <w:rFonts w:ascii="Palatino Linotype" w:hAnsi="Palatino Linotype" w:cs="Arial"/>
          <w:b/>
          <w:bCs/>
          <w:i/>
          <w:sz w:val="22"/>
          <w:szCs w:val="22"/>
          <w:lang w:eastAsia="es-MX"/>
        </w:rPr>
        <w:lastRenderedPageBreak/>
        <w:t xml:space="preserve">III. </w:t>
      </w:r>
      <w:r w:rsidRPr="00D908FB">
        <w:rPr>
          <w:rFonts w:ascii="Palatino Linotype" w:hAnsi="Palatino Linotype" w:cs="Arial"/>
          <w:b/>
          <w:i/>
          <w:sz w:val="22"/>
          <w:szCs w:val="22"/>
          <w:u w:val="single"/>
          <w:lang w:eastAsia="es-MX"/>
        </w:rPr>
        <w:t>Toda persona, sin necesidad de acreditar interés alguno o justificar su utilización, tendrá acceso gratuito a la información pública,</w:t>
      </w:r>
      <w:r w:rsidRPr="00D908FB">
        <w:rPr>
          <w:rFonts w:ascii="Palatino Linotype" w:hAnsi="Palatino Linotype" w:cs="Arial"/>
          <w:i/>
          <w:sz w:val="22"/>
          <w:szCs w:val="22"/>
          <w:lang w:eastAsia="es-MX"/>
        </w:rPr>
        <w:t xml:space="preserve"> a sus datos personales o a la rectificación de éstos.</w:t>
      </w:r>
    </w:p>
    <w:p w:rsidR="00352C44" w:rsidRPr="00D908FB" w:rsidRDefault="00352C44" w:rsidP="00352C44">
      <w:pPr>
        <w:ind w:left="851" w:right="851"/>
        <w:jc w:val="both"/>
        <w:rPr>
          <w:rFonts w:ascii="Palatino Linotype" w:hAnsi="Palatino Linotype" w:cs="Arial"/>
          <w:i/>
          <w:sz w:val="22"/>
          <w:szCs w:val="22"/>
          <w:lang w:eastAsia="es-MX"/>
        </w:rPr>
      </w:pPr>
      <w:r w:rsidRPr="00D908FB">
        <w:rPr>
          <w:rFonts w:ascii="Palatino Linotype" w:hAnsi="Palatino Linotype" w:cs="Arial"/>
          <w:i/>
          <w:sz w:val="22"/>
          <w:szCs w:val="22"/>
          <w:lang w:eastAsia="es-MX"/>
        </w:rPr>
        <w:t> </w:t>
      </w:r>
    </w:p>
    <w:p w:rsidR="00352C44" w:rsidRPr="00D908FB" w:rsidRDefault="00352C44" w:rsidP="00352C44">
      <w:pPr>
        <w:ind w:left="851" w:right="851"/>
        <w:jc w:val="both"/>
        <w:rPr>
          <w:rFonts w:ascii="Palatino Linotype" w:hAnsi="Palatino Linotype" w:cs="Arial"/>
          <w:i/>
          <w:sz w:val="22"/>
          <w:szCs w:val="22"/>
          <w:lang w:eastAsia="es-MX"/>
        </w:rPr>
      </w:pPr>
      <w:r w:rsidRPr="00D908FB">
        <w:rPr>
          <w:rFonts w:ascii="Palatino Linotype" w:hAnsi="Palatino Linotype" w:cs="Arial"/>
          <w:b/>
          <w:bCs/>
          <w:i/>
          <w:sz w:val="22"/>
          <w:szCs w:val="22"/>
          <w:lang w:eastAsia="es-MX"/>
        </w:rPr>
        <w:t xml:space="preserve">IV. </w:t>
      </w:r>
      <w:r w:rsidRPr="00D908FB">
        <w:rPr>
          <w:rFonts w:ascii="Palatino Linotype" w:hAnsi="Palatino Linotype" w:cs="Arial"/>
          <w:i/>
          <w:sz w:val="22"/>
          <w:szCs w:val="22"/>
          <w:lang w:eastAsia="es-MX"/>
        </w:rPr>
        <w:t>Se establecerán mecanismos de acceso a la información y procedimientos de revisión expeditos que se sustanciarán ante los organismos autónomos especializados e imparciales que establece esta Constitución.</w:t>
      </w:r>
    </w:p>
    <w:p w:rsidR="00352C44" w:rsidRPr="00D908FB" w:rsidRDefault="00352C44" w:rsidP="00352C44">
      <w:pPr>
        <w:ind w:left="851" w:right="851"/>
        <w:jc w:val="both"/>
        <w:rPr>
          <w:rFonts w:ascii="Palatino Linotype" w:hAnsi="Palatino Linotype" w:cs="Courier New"/>
          <w:i/>
          <w:sz w:val="22"/>
          <w:szCs w:val="22"/>
          <w:lang w:eastAsia="es-MX"/>
        </w:rPr>
      </w:pPr>
    </w:p>
    <w:p w:rsidR="00352C44" w:rsidRPr="00D908FB" w:rsidRDefault="00352C44" w:rsidP="00352C44">
      <w:pPr>
        <w:ind w:left="851" w:right="851"/>
        <w:jc w:val="both"/>
        <w:rPr>
          <w:rFonts w:ascii="Palatino Linotype" w:hAnsi="Palatino Linotype" w:cs="Arial"/>
          <w:i/>
          <w:sz w:val="22"/>
          <w:szCs w:val="22"/>
          <w:lang w:eastAsia="es-MX"/>
        </w:rPr>
      </w:pPr>
      <w:r w:rsidRPr="00D908FB">
        <w:rPr>
          <w:rFonts w:ascii="Palatino Linotype" w:hAnsi="Palatino Linotype" w:cs="Arial"/>
          <w:b/>
          <w:bCs/>
          <w:i/>
          <w:sz w:val="22"/>
          <w:szCs w:val="22"/>
          <w:lang w:eastAsia="es-MX"/>
        </w:rPr>
        <w:t xml:space="preserve">V. </w:t>
      </w:r>
      <w:r w:rsidRPr="00D908FB">
        <w:rPr>
          <w:rFonts w:ascii="Palatino Linotype" w:hAnsi="Palatino Linotype" w:cs="Arial"/>
          <w:i/>
          <w:sz w:val="22"/>
          <w:szCs w:val="22"/>
          <w:lang w:eastAsia="es-MX"/>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rsidR="00352C44" w:rsidRPr="00D908FB" w:rsidRDefault="00352C44" w:rsidP="00352C44">
      <w:pPr>
        <w:ind w:left="851" w:right="851"/>
        <w:jc w:val="both"/>
        <w:rPr>
          <w:rFonts w:ascii="Palatino Linotype" w:hAnsi="Palatino Linotype" w:cs="Arial"/>
          <w:i/>
          <w:sz w:val="22"/>
          <w:szCs w:val="22"/>
          <w:lang w:eastAsia="es-MX"/>
        </w:rPr>
      </w:pPr>
      <w:r w:rsidRPr="00D908FB">
        <w:rPr>
          <w:rFonts w:ascii="Palatino Linotype" w:hAnsi="Palatino Linotype" w:cs="Arial"/>
          <w:i/>
          <w:sz w:val="22"/>
          <w:szCs w:val="22"/>
          <w:lang w:eastAsia="es-MX"/>
        </w:rPr>
        <w:t> </w:t>
      </w:r>
    </w:p>
    <w:p w:rsidR="00352C44" w:rsidRPr="00D908FB" w:rsidRDefault="00352C44" w:rsidP="00352C44">
      <w:pPr>
        <w:ind w:left="851" w:right="851"/>
        <w:jc w:val="both"/>
        <w:rPr>
          <w:rFonts w:ascii="Palatino Linotype" w:hAnsi="Palatino Linotype" w:cs="Arial"/>
          <w:i/>
          <w:sz w:val="22"/>
          <w:szCs w:val="22"/>
          <w:lang w:eastAsia="es-MX"/>
        </w:rPr>
      </w:pPr>
      <w:r w:rsidRPr="00D908FB">
        <w:rPr>
          <w:rFonts w:ascii="Palatino Linotype" w:hAnsi="Palatino Linotype" w:cs="Arial"/>
          <w:b/>
          <w:bCs/>
          <w:i/>
          <w:sz w:val="22"/>
          <w:szCs w:val="22"/>
          <w:lang w:eastAsia="es-MX"/>
        </w:rPr>
        <w:t xml:space="preserve">VI. </w:t>
      </w:r>
      <w:r w:rsidRPr="00D908FB">
        <w:rPr>
          <w:rFonts w:ascii="Palatino Linotype" w:hAnsi="Palatino Linotype" w:cs="Arial"/>
          <w:i/>
          <w:sz w:val="22"/>
          <w:szCs w:val="22"/>
          <w:lang w:eastAsia="es-MX"/>
        </w:rPr>
        <w:t>Las leyes determinarán la manera en que los sujetos obligados deberán hacer pública la información relativa a los recursos públicos que entreguen a personas físicas o morales.</w:t>
      </w:r>
    </w:p>
    <w:p w:rsidR="00352C44" w:rsidRPr="00D908FB" w:rsidRDefault="00352C44" w:rsidP="00352C44">
      <w:pPr>
        <w:ind w:left="851" w:right="851"/>
        <w:jc w:val="both"/>
        <w:rPr>
          <w:rFonts w:ascii="Palatino Linotype" w:hAnsi="Palatino Linotype" w:cs="Arial"/>
          <w:i/>
          <w:sz w:val="22"/>
          <w:szCs w:val="22"/>
          <w:lang w:eastAsia="es-MX"/>
        </w:rPr>
      </w:pPr>
      <w:r w:rsidRPr="00D908FB">
        <w:rPr>
          <w:rFonts w:ascii="Palatino Linotype" w:hAnsi="Palatino Linotype" w:cs="Arial"/>
          <w:i/>
          <w:sz w:val="22"/>
          <w:szCs w:val="22"/>
          <w:lang w:eastAsia="es-MX"/>
        </w:rPr>
        <w:t> </w:t>
      </w:r>
    </w:p>
    <w:p w:rsidR="00352C44" w:rsidRPr="00D908FB" w:rsidRDefault="00352C44" w:rsidP="00352C44">
      <w:pPr>
        <w:ind w:left="851" w:right="851"/>
        <w:jc w:val="both"/>
        <w:rPr>
          <w:rFonts w:ascii="Palatino Linotype" w:hAnsi="Palatino Linotype" w:cs="Arial"/>
          <w:i/>
          <w:sz w:val="22"/>
          <w:szCs w:val="22"/>
          <w:lang w:eastAsia="es-MX"/>
        </w:rPr>
      </w:pPr>
      <w:r w:rsidRPr="00D908FB">
        <w:rPr>
          <w:rFonts w:ascii="Palatino Linotype" w:hAnsi="Palatino Linotype" w:cs="Arial"/>
          <w:b/>
          <w:bCs/>
          <w:i/>
          <w:sz w:val="22"/>
          <w:szCs w:val="22"/>
          <w:lang w:eastAsia="es-MX"/>
        </w:rPr>
        <w:t xml:space="preserve">VII. </w:t>
      </w:r>
      <w:r w:rsidRPr="00D908FB">
        <w:rPr>
          <w:rFonts w:ascii="Palatino Linotype" w:hAnsi="Palatino Linotype" w:cs="Arial"/>
          <w:i/>
          <w:sz w:val="22"/>
          <w:szCs w:val="22"/>
          <w:lang w:eastAsia="es-MX"/>
        </w:rPr>
        <w:t>La inobservancia a las disposiciones en materia de acceso a la información pública será sancionada en los términos que dispongan las leyes</w:t>
      </w:r>
      <w:proofErr w:type="gramStart"/>
      <w:r w:rsidRPr="00D908FB">
        <w:rPr>
          <w:rFonts w:ascii="Palatino Linotype" w:hAnsi="Palatino Linotype" w:cs="Arial"/>
          <w:i/>
          <w:sz w:val="22"/>
          <w:szCs w:val="22"/>
          <w:lang w:eastAsia="es-MX"/>
        </w:rPr>
        <w:t>.</w:t>
      </w:r>
      <w:r w:rsidRPr="00D908FB">
        <w:rPr>
          <w:rFonts w:ascii="Palatino Linotype" w:hAnsi="Palatino Linotype"/>
          <w:i/>
          <w:sz w:val="22"/>
          <w:szCs w:val="22"/>
        </w:rPr>
        <w:t>[</w:t>
      </w:r>
      <w:proofErr w:type="gramEnd"/>
      <w:r w:rsidRPr="00D908FB">
        <w:rPr>
          <w:rFonts w:ascii="Palatino Linotype" w:hAnsi="Palatino Linotype"/>
          <w:i/>
          <w:sz w:val="22"/>
          <w:szCs w:val="22"/>
        </w:rPr>
        <w:t>...]</w:t>
      </w:r>
    </w:p>
    <w:p w:rsidR="00352C44" w:rsidRPr="00D908FB" w:rsidRDefault="00352C44" w:rsidP="00352C44">
      <w:pPr>
        <w:ind w:left="851" w:right="851"/>
        <w:jc w:val="both"/>
        <w:rPr>
          <w:rFonts w:ascii="Palatino Linotype" w:hAnsi="Palatino Linotype" w:cs="Arial"/>
        </w:rPr>
      </w:pPr>
    </w:p>
    <w:p w:rsidR="00352C44" w:rsidRPr="00D908FB" w:rsidRDefault="00352C44" w:rsidP="00352C44">
      <w:pPr>
        <w:tabs>
          <w:tab w:val="left" w:pos="709"/>
        </w:tabs>
        <w:spacing w:before="240" w:after="240" w:line="360" w:lineRule="auto"/>
        <w:jc w:val="both"/>
        <w:rPr>
          <w:rFonts w:ascii="Palatino Linotype" w:hAnsi="Palatino Linotype"/>
        </w:rPr>
      </w:pPr>
      <w:r w:rsidRPr="00D908FB">
        <w:rPr>
          <w:rFonts w:ascii="Palatino Linotype" w:hAnsi="Palatino Linotype" w:cs="Arial"/>
        </w:rPr>
        <w:t>Así, de la interpretación sistémica de los numerales inmersos en los instrumentos legales Internacionales y Nacional, el derecho de acceso a la información es un derecho del cual goza toda persona sin discriminación alguna, el cual se ejerce ante los Poderes del Estado, entidades, dependencias o cualquiera persona física o moral que reciba y ejerza recursos públicos, siendo pública toda la información que posean con las excepciones enmarcadas, para lo cual queda demostrado que el presente sujeto obligado debe cumplir con dichos dispositivos legales.</w:t>
      </w:r>
    </w:p>
    <w:p w:rsidR="00352C44" w:rsidRPr="00D908FB" w:rsidRDefault="00352C44" w:rsidP="00352C44">
      <w:pPr>
        <w:tabs>
          <w:tab w:val="left" w:pos="709"/>
        </w:tabs>
        <w:spacing w:before="240" w:after="240" w:line="360" w:lineRule="auto"/>
        <w:jc w:val="both"/>
        <w:rPr>
          <w:rFonts w:ascii="Palatino Linotype" w:hAnsi="Palatino Linotype"/>
        </w:rPr>
      </w:pPr>
      <w:r w:rsidRPr="00D908FB">
        <w:rPr>
          <w:rFonts w:ascii="Palatino Linotype" w:hAnsi="Palatino Linotype"/>
        </w:rPr>
        <w:t xml:space="preserve">Una vez precisado lo anterior, es menester señalar que el artículo 112 de la Constitución Política del Estado Libre y Soberano de México establece la base de la división territorial y de la organización política y administrativa del Estado en el </w:t>
      </w:r>
      <w:r w:rsidRPr="00D908FB">
        <w:rPr>
          <w:rFonts w:ascii="Palatino Linotype" w:hAnsi="Palatino Linotype"/>
        </w:rPr>
        <w:lastRenderedPageBreak/>
        <w:t>municipio libre, el cual se ejerce por el Ayuntamiento, también llamado comúnmente Cabildo.</w:t>
      </w:r>
    </w:p>
    <w:p w:rsidR="00CD57B5" w:rsidRDefault="00CD57B5" w:rsidP="00CD57B5">
      <w:pPr>
        <w:tabs>
          <w:tab w:val="left" w:pos="709"/>
        </w:tabs>
        <w:spacing w:before="240" w:after="240" w:line="360" w:lineRule="auto"/>
        <w:jc w:val="both"/>
        <w:rPr>
          <w:rFonts w:ascii="Palatino Linotype" w:hAnsi="Palatino Linotype"/>
        </w:rPr>
      </w:pPr>
      <w:r>
        <w:rPr>
          <w:rFonts w:ascii="Palatino Linotype" w:hAnsi="Palatino Linotype"/>
        </w:rPr>
        <w:t xml:space="preserve">Por otra parte, es importante mencionar que el artículo 1 de la Ley Orgánica Municipal del Estado de México refiere que </w:t>
      </w:r>
      <w:r w:rsidRPr="00CD57B5">
        <w:rPr>
          <w:rFonts w:ascii="Palatino Linotype" w:hAnsi="Palatino Linotype"/>
        </w:rPr>
        <w:t>tiene por objeto regular las bases para la integración y organización del territorio, la población, el gobierno y la administración pública municip</w:t>
      </w:r>
      <w:r>
        <w:rPr>
          <w:rFonts w:ascii="Palatino Linotype" w:hAnsi="Palatino Linotype"/>
        </w:rPr>
        <w:t xml:space="preserve">ales, en donde el </w:t>
      </w:r>
      <w:r w:rsidRPr="00CD57B5">
        <w:rPr>
          <w:rFonts w:ascii="Palatino Linotype" w:hAnsi="Palatino Linotype"/>
        </w:rPr>
        <w:t>municipio libre es la base de la división territorial y de la organización política del Estado, investido de personalidad jurídica propia, integrado por una comunidad establecida en un territorio, con un gobierno autónomo en su régimen interior y en la administración de su hacienda pública, en términos del Artículo 115 de la Constitución Política de los Estados Unidos Mexicanos.</w:t>
      </w:r>
    </w:p>
    <w:p w:rsidR="00CD57B5" w:rsidRDefault="00CD57B5" w:rsidP="00CD57B5">
      <w:pPr>
        <w:tabs>
          <w:tab w:val="left" w:pos="709"/>
        </w:tabs>
        <w:spacing w:before="240" w:after="240" w:line="360" w:lineRule="auto"/>
        <w:jc w:val="both"/>
        <w:rPr>
          <w:rFonts w:ascii="Palatino Linotype" w:hAnsi="Palatino Linotype"/>
        </w:rPr>
      </w:pPr>
      <w:r w:rsidRPr="00CD57B5">
        <w:rPr>
          <w:rFonts w:ascii="Palatino Linotype" w:hAnsi="Palatino Linotype"/>
        </w:rPr>
        <w:t>En este mismo orden de ideas es menester referir que los artículos 15 y 16 de la Ley Orgánica Municipal vigente en la entidad refieren en términos generales que cada municipio será gobernado por un ayuntamiento de elección popular directa y no habrá ninguna autoridad intermedia entre éste y el Gobierno del Estado, en donde los integrantes de los ayuntamientos de elección popular deberán cumplir con los requisitos previstos por la ley, y no estar impedidos para el desempeño de sus cargos, de acuerdo con los artículos 119 y 120 de la Constitución Política del Estado Libre y Soberano de México y se elegirán conforme a los principios de mayoría relativa y de representación proporcional, con dominante mayoritario, es decir, se renovarán cada tres años, iniciando su periodo el 1 de enero del año inmediato siguiente al de las elecciones municipales ordinarias y concluirán el 31 de diciembre del año de las elecciones para su renovación.</w:t>
      </w:r>
    </w:p>
    <w:p w:rsidR="000E4850" w:rsidRDefault="00CD57B5" w:rsidP="000E4850">
      <w:pPr>
        <w:tabs>
          <w:tab w:val="left" w:pos="709"/>
        </w:tabs>
        <w:spacing w:before="240" w:after="240" w:line="360" w:lineRule="auto"/>
        <w:jc w:val="both"/>
        <w:rPr>
          <w:rFonts w:ascii="Palatino Linotype" w:hAnsi="Palatino Linotype"/>
        </w:rPr>
      </w:pPr>
      <w:r>
        <w:rPr>
          <w:rFonts w:ascii="Palatino Linotype" w:hAnsi="Palatino Linotype"/>
        </w:rPr>
        <w:lastRenderedPageBreak/>
        <w:t>Al respecto es pertinente mencionar que tomando en cuenta que la recurrente presentó la solicitud el doce de octubre de dos mil dieciocho, a consideración de este Instituto se advierte que pretendía conocer la información relacionada con los integrantes del Ayuntamiento de Isidro Fabela de la Administración pública municipal 2016-2018, motivo por el cual en el presente asunto</w:t>
      </w:r>
      <w:r w:rsidR="00C27182">
        <w:rPr>
          <w:rFonts w:ascii="Palatino Linotype" w:hAnsi="Palatino Linotype"/>
        </w:rPr>
        <w:t>, una vez precisada la fuente obligacional para generar, administrar y poseer la información materia del presente asunto, se ordenara la entrega de la misma, en términos del considerando quinto de la presente resolución.</w:t>
      </w:r>
    </w:p>
    <w:p w:rsidR="00352C44" w:rsidRPr="000E4850" w:rsidRDefault="00352C44" w:rsidP="000E4850">
      <w:pPr>
        <w:tabs>
          <w:tab w:val="left" w:pos="709"/>
        </w:tabs>
        <w:spacing w:before="240" w:after="240" w:line="360" w:lineRule="auto"/>
        <w:jc w:val="both"/>
        <w:rPr>
          <w:rFonts w:ascii="Palatino Linotype" w:hAnsi="Palatino Linotype"/>
        </w:rPr>
      </w:pPr>
      <w:r w:rsidRPr="00D908FB">
        <w:rPr>
          <w:rFonts w:ascii="Palatino Linotype" w:hAnsi="Palatino Linotype"/>
        </w:rPr>
        <w:t xml:space="preserve">En consonancia con lo anterior, es de considerar que, en el caso del Ayuntamiento de </w:t>
      </w:r>
      <w:r w:rsidR="000E4850">
        <w:rPr>
          <w:rFonts w:ascii="Palatino Linotype" w:hAnsi="Palatino Linotype"/>
        </w:rPr>
        <w:t>Isidro Fabela para el año 2018</w:t>
      </w:r>
      <w:r w:rsidRPr="00D908FB">
        <w:rPr>
          <w:rFonts w:ascii="Palatino Linotype" w:hAnsi="Palatino Linotype"/>
        </w:rPr>
        <w:t xml:space="preserve">, en los artículos </w:t>
      </w:r>
      <w:r w:rsidR="000E4850">
        <w:rPr>
          <w:rFonts w:ascii="Palatino Linotype" w:hAnsi="Palatino Linotype"/>
        </w:rPr>
        <w:t xml:space="preserve">1, 2 y 17 se </w:t>
      </w:r>
      <w:proofErr w:type="gramStart"/>
      <w:r w:rsidR="000E4850">
        <w:rPr>
          <w:rFonts w:ascii="Palatino Linotype" w:hAnsi="Palatino Linotype"/>
        </w:rPr>
        <w:t>establece</w:t>
      </w:r>
      <w:proofErr w:type="gramEnd"/>
      <w:r w:rsidR="000E4850">
        <w:rPr>
          <w:rFonts w:ascii="Palatino Linotype" w:hAnsi="Palatino Linotype"/>
        </w:rPr>
        <w:t xml:space="preserve"> lo siguiente</w:t>
      </w:r>
      <w:r w:rsidRPr="00D908FB">
        <w:rPr>
          <w:rFonts w:ascii="Palatino Linotype" w:hAnsi="Palatino Linotype" w:cs="Arial"/>
        </w:rPr>
        <w:t>:</w:t>
      </w:r>
    </w:p>
    <w:p w:rsidR="000E4850" w:rsidRDefault="00352C44" w:rsidP="00352C44">
      <w:pPr>
        <w:shd w:val="clear" w:color="auto" w:fill="FFFFFF"/>
        <w:spacing w:before="120" w:after="120"/>
        <w:ind w:left="709" w:right="618"/>
        <w:contextualSpacing/>
        <w:jc w:val="both"/>
        <w:rPr>
          <w:rFonts w:ascii="Palatino Linotype" w:hAnsi="Palatino Linotype"/>
          <w:i/>
          <w:sz w:val="22"/>
          <w:szCs w:val="22"/>
        </w:rPr>
      </w:pPr>
      <w:r w:rsidRPr="00D908FB">
        <w:rPr>
          <w:rFonts w:ascii="Palatino Linotype" w:hAnsi="Palatino Linotype"/>
          <w:i/>
          <w:sz w:val="22"/>
          <w:szCs w:val="22"/>
        </w:rPr>
        <w:t xml:space="preserve"> </w:t>
      </w:r>
      <w:r w:rsidR="000E4850">
        <w:rPr>
          <w:rFonts w:ascii="Palatino Linotype" w:hAnsi="Palatino Linotype"/>
          <w:i/>
          <w:sz w:val="22"/>
          <w:szCs w:val="22"/>
        </w:rPr>
        <w:t>“</w:t>
      </w:r>
      <w:r w:rsidR="000E4850" w:rsidRPr="000E4850">
        <w:rPr>
          <w:rFonts w:ascii="Palatino Linotype" w:hAnsi="Palatino Linotype"/>
          <w:b/>
          <w:i/>
          <w:sz w:val="22"/>
          <w:szCs w:val="22"/>
        </w:rPr>
        <w:t>ARTÍCULO 1.-</w:t>
      </w:r>
      <w:r w:rsidR="000E4850" w:rsidRPr="000E4850">
        <w:rPr>
          <w:rFonts w:ascii="Palatino Linotype" w:hAnsi="Palatino Linotype"/>
          <w:i/>
          <w:sz w:val="22"/>
          <w:szCs w:val="22"/>
        </w:rPr>
        <w:t xml:space="preserve"> El Presente Bando es de orden público, interés social y observancia general en todo el Territorio Municipal y </w:t>
      </w:r>
      <w:r w:rsidR="000E4850" w:rsidRPr="000E4850">
        <w:rPr>
          <w:rFonts w:ascii="Palatino Linotype" w:hAnsi="Palatino Linotype"/>
          <w:b/>
          <w:i/>
          <w:sz w:val="22"/>
          <w:szCs w:val="22"/>
          <w:u w:val="single"/>
        </w:rPr>
        <w:t>tiene por objeto establecer las bases de su</w:t>
      </w:r>
      <w:r w:rsidR="000E4850" w:rsidRPr="000E4850">
        <w:rPr>
          <w:rFonts w:ascii="Palatino Linotype" w:hAnsi="Palatino Linotype"/>
          <w:i/>
          <w:sz w:val="22"/>
          <w:szCs w:val="22"/>
        </w:rPr>
        <w:t xml:space="preserve"> división territorial, </w:t>
      </w:r>
      <w:r w:rsidR="000E4850" w:rsidRPr="000E4850">
        <w:rPr>
          <w:rFonts w:ascii="Palatino Linotype" w:hAnsi="Palatino Linotype"/>
          <w:b/>
          <w:i/>
          <w:sz w:val="22"/>
          <w:szCs w:val="22"/>
          <w:u w:val="single"/>
        </w:rPr>
        <w:t>Organización Política y Administrativa</w:t>
      </w:r>
      <w:r w:rsidR="000E4850" w:rsidRPr="000E4850">
        <w:rPr>
          <w:rFonts w:ascii="Palatino Linotype" w:hAnsi="Palatino Linotype"/>
          <w:i/>
          <w:sz w:val="22"/>
          <w:szCs w:val="22"/>
        </w:rPr>
        <w:t xml:space="preserve">; así como los Derechos y Obligaciones de su Población; </w:t>
      </w:r>
      <w:r w:rsidR="000E4850" w:rsidRPr="000E4850">
        <w:rPr>
          <w:rFonts w:ascii="Palatino Linotype" w:hAnsi="Palatino Linotype"/>
          <w:b/>
          <w:i/>
          <w:sz w:val="22"/>
          <w:szCs w:val="22"/>
          <w:u w:val="single"/>
        </w:rPr>
        <w:t>determina la competencia de las Dependencias Administrativas y Servidores Públicos Municipales</w:t>
      </w:r>
      <w:r w:rsidR="000E4850" w:rsidRPr="000E4850">
        <w:rPr>
          <w:rFonts w:ascii="Palatino Linotype" w:hAnsi="Palatino Linotype"/>
          <w:i/>
          <w:sz w:val="22"/>
          <w:szCs w:val="22"/>
        </w:rPr>
        <w:t>, para buscar la sana convivencia que deben mantener y conservar los habitantes del Municipio a efecto de procurar conjuntamente la seguridad, tranquilid</w:t>
      </w:r>
      <w:r w:rsidR="000E4850">
        <w:rPr>
          <w:rFonts w:ascii="Palatino Linotype" w:hAnsi="Palatino Linotype"/>
          <w:i/>
          <w:sz w:val="22"/>
          <w:szCs w:val="22"/>
        </w:rPr>
        <w:t>ad y bienestar de la población.</w:t>
      </w:r>
    </w:p>
    <w:p w:rsidR="000E4850" w:rsidRDefault="000E4850" w:rsidP="00352C44">
      <w:pPr>
        <w:shd w:val="clear" w:color="auto" w:fill="FFFFFF"/>
        <w:spacing w:before="120" w:after="120"/>
        <w:ind w:left="709" w:right="618"/>
        <w:contextualSpacing/>
        <w:jc w:val="both"/>
        <w:rPr>
          <w:rFonts w:ascii="Palatino Linotype" w:hAnsi="Palatino Linotype"/>
          <w:i/>
          <w:sz w:val="22"/>
          <w:szCs w:val="22"/>
        </w:rPr>
      </w:pPr>
      <w:r w:rsidRPr="000E4850">
        <w:rPr>
          <w:rFonts w:ascii="Palatino Linotype" w:hAnsi="Palatino Linotype"/>
          <w:b/>
          <w:i/>
          <w:sz w:val="22"/>
          <w:szCs w:val="22"/>
        </w:rPr>
        <w:t>ARTÍCULO 2.-</w:t>
      </w:r>
      <w:r w:rsidRPr="000E4850">
        <w:rPr>
          <w:rFonts w:ascii="Palatino Linotype" w:hAnsi="Palatino Linotype"/>
          <w:i/>
          <w:sz w:val="22"/>
          <w:szCs w:val="22"/>
        </w:rPr>
        <w:t xml:space="preserve"> </w:t>
      </w:r>
      <w:r w:rsidRPr="000E4850">
        <w:rPr>
          <w:rFonts w:ascii="Palatino Linotype" w:hAnsi="Palatino Linotype"/>
          <w:b/>
          <w:i/>
          <w:sz w:val="22"/>
          <w:szCs w:val="22"/>
          <w:u w:val="single"/>
        </w:rPr>
        <w:t>El Municipio de Isidro Fabela</w:t>
      </w:r>
      <w:r w:rsidRPr="000E4850">
        <w:rPr>
          <w:rFonts w:ascii="Palatino Linotype" w:hAnsi="Palatino Linotype"/>
          <w:i/>
          <w:sz w:val="22"/>
          <w:szCs w:val="22"/>
        </w:rPr>
        <w:t xml:space="preserve">, es parte integral de la División Territorial, de la Organización Política y Administrativa del Estado de México. </w:t>
      </w:r>
      <w:r w:rsidRPr="000E4850">
        <w:rPr>
          <w:rFonts w:ascii="Palatino Linotype" w:hAnsi="Palatino Linotype"/>
          <w:b/>
          <w:i/>
          <w:sz w:val="22"/>
          <w:szCs w:val="22"/>
          <w:u w:val="single"/>
        </w:rPr>
        <w:t>Está Gobernado por un Ayuntamiento de Elección Popular directa integrado por un Presidente Municipal, un Síndico y diez Regidores</w:t>
      </w:r>
      <w:r w:rsidRPr="000E4850">
        <w:rPr>
          <w:rFonts w:ascii="Palatino Linotype" w:hAnsi="Palatino Linotype"/>
          <w:i/>
          <w:sz w:val="22"/>
          <w:szCs w:val="22"/>
        </w:rPr>
        <w:t>, no existiendo autoridad intermedia entre éste y el Gobierno del Estado de México; debe observar las disposiciones de la Constitución Política de los Estados Unidos Mexicanos, de la Constitución Política del Estado Libre y Soberano de México, y las Leyes que de ellas deriven; así como las normas que de ellas emanen.</w:t>
      </w:r>
    </w:p>
    <w:p w:rsidR="000E4850" w:rsidRDefault="000E4850" w:rsidP="00352C44">
      <w:pPr>
        <w:shd w:val="clear" w:color="auto" w:fill="FFFFFF"/>
        <w:spacing w:before="120" w:after="120"/>
        <w:ind w:left="709" w:right="618"/>
        <w:contextualSpacing/>
        <w:jc w:val="both"/>
        <w:rPr>
          <w:rFonts w:ascii="Palatino Linotype" w:hAnsi="Palatino Linotype"/>
          <w:i/>
          <w:sz w:val="22"/>
          <w:szCs w:val="22"/>
        </w:rPr>
      </w:pPr>
      <w:r>
        <w:rPr>
          <w:rFonts w:ascii="Palatino Linotype" w:hAnsi="Palatino Linotype"/>
          <w:b/>
          <w:i/>
          <w:sz w:val="22"/>
          <w:szCs w:val="22"/>
        </w:rPr>
        <w:t>…</w:t>
      </w:r>
    </w:p>
    <w:p w:rsidR="00352C44" w:rsidRDefault="000E4850" w:rsidP="00352C44">
      <w:pPr>
        <w:shd w:val="clear" w:color="auto" w:fill="FFFFFF"/>
        <w:spacing w:before="120" w:after="120"/>
        <w:ind w:left="709" w:right="618"/>
        <w:contextualSpacing/>
        <w:jc w:val="both"/>
        <w:rPr>
          <w:rFonts w:ascii="Palatino Linotype" w:hAnsi="Palatino Linotype"/>
          <w:i/>
          <w:sz w:val="22"/>
          <w:szCs w:val="22"/>
        </w:rPr>
      </w:pPr>
      <w:r w:rsidRPr="000E4850">
        <w:rPr>
          <w:rFonts w:ascii="Palatino Linotype" w:hAnsi="Palatino Linotype"/>
          <w:b/>
          <w:i/>
          <w:sz w:val="22"/>
          <w:szCs w:val="22"/>
        </w:rPr>
        <w:t>ARTÍCULO 17.-</w:t>
      </w:r>
      <w:r w:rsidRPr="000E4850">
        <w:rPr>
          <w:rFonts w:ascii="Palatino Linotype" w:hAnsi="Palatino Linotype"/>
          <w:i/>
          <w:sz w:val="22"/>
          <w:szCs w:val="22"/>
        </w:rPr>
        <w:t xml:space="preserve"> </w:t>
      </w:r>
      <w:r w:rsidRPr="000E4850">
        <w:rPr>
          <w:rFonts w:ascii="Palatino Linotype" w:hAnsi="Palatino Linotype"/>
          <w:b/>
          <w:i/>
          <w:sz w:val="22"/>
          <w:szCs w:val="22"/>
          <w:u w:val="single"/>
        </w:rPr>
        <w:t>El Gobierno del Municipio de Isidro Fabela lo ejerce el H. Ayuntamiento</w:t>
      </w:r>
      <w:r w:rsidRPr="000E4850">
        <w:rPr>
          <w:rFonts w:ascii="Palatino Linotype" w:hAnsi="Palatino Linotype"/>
          <w:i/>
          <w:sz w:val="22"/>
          <w:szCs w:val="22"/>
        </w:rPr>
        <w:t xml:space="preserve">, él cual es un Órgano Colegiado que tiene a su cargo el cumplimiento de los fines que le son propios y que constituido como Asamblea deliberante </w:t>
      </w:r>
      <w:r w:rsidRPr="000E4850">
        <w:rPr>
          <w:rFonts w:ascii="Palatino Linotype" w:hAnsi="Palatino Linotype"/>
          <w:b/>
          <w:i/>
          <w:sz w:val="22"/>
          <w:szCs w:val="22"/>
          <w:u w:val="single"/>
        </w:rPr>
        <w:t>es la máxima autoridad y cuenta con las facultades y obligaciones que las Leyes le otorga</w:t>
      </w:r>
      <w:r w:rsidRPr="000E4850">
        <w:rPr>
          <w:rFonts w:ascii="Palatino Linotype" w:hAnsi="Palatino Linotype"/>
          <w:i/>
          <w:sz w:val="22"/>
          <w:szCs w:val="22"/>
        </w:rPr>
        <w:t xml:space="preserve">. Para una mejor atención y despacho de sus asuntos, el H. Ayuntamiento se </w:t>
      </w:r>
      <w:r w:rsidRPr="000E4850">
        <w:rPr>
          <w:rFonts w:ascii="Palatino Linotype" w:hAnsi="Palatino Linotype"/>
          <w:i/>
          <w:sz w:val="22"/>
          <w:szCs w:val="22"/>
        </w:rPr>
        <w:lastRenderedPageBreak/>
        <w:t>constituirá en Comisiones Edilicias, las cuales se regularán con base en el Reglamento respectivo.</w:t>
      </w:r>
      <w:r w:rsidR="00352C44" w:rsidRPr="00D908FB">
        <w:rPr>
          <w:rFonts w:ascii="Palatino Linotype" w:hAnsi="Palatino Linotype"/>
          <w:i/>
          <w:sz w:val="22"/>
          <w:szCs w:val="22"/>
        </w:rPr>
        <w:t>”</w:t>
      </w:r>
    </w:p>
    <w:p w:rsidR="000E4850" w:rsidRPr="00D908FB" w:rsidRDefault="000E4850" w:rsidP="00352C44">
      <w:pPr>
        <w:shd w:val="clear" w:color="auto" w:fill="FFFFFF"/>
        <w:spacing w:before="120" w:after="120"/>
        <w:ind w:left="709" w:right="618"/>
        <w:contextualSpacing/>
        <w:jc w:val="both"/>
        <w:rPr>
          <w:rFonts w:ascii="Palatino Linotype" w:hAnsi="Palatino Linotype"/>
          <w:i/>
          <w:sz w:val="22"/>
          <w:szCs w:val="22"/>
        </w:rPr>
      </w:pPr>
      <w:r>
        <w:rPr>
          <w:rFonts w:ascii="Palatino Linotype" w:hAnsi="Palatino Linotype"/>
          <w:b/>
          <w:i/>
          <w:sz w:val="22"/>
          <w:szCs w:val="22"/>
        </w:rPr>
        <w:t>Énfasis añadido.</w:t>
      </w:r>
    </w:p>
    <w:p w:rsidR="00352C44" w:rsidRPr="00D908FB" w:rsidRDefault="00352C44" w:rsidP="00352C44">
      <w:pPr>
        <w:shd w:val="clear" w:color="auto" w:fill="FFFFFF"/>
        <w:spacing w:before="120" w:after="120" w:line="360" w:lineRule="auto"/>
        <w:ind w:right="616"/>
        <w:contextualSpacing/>
        <w:jc w:val="both"/>
        <w:rPr>
          <w:rFonts w:ascii="Palatino Linotype" w:hAnsi="Palatino Linotype" w:cs="Arial"/>
        </w:rPr>
      </w:pPr>
    </w:p>
    <w:p w:rsidR="00352C44" w:rsidRPr="00D908FB" w:rsidRDefault="00352C44" w:rsidP="00352C44">
      <w:pPr>
        <w:shd w:val="clear" w:color="auto" w:fill="FFFFFF"/>
        <w:spacing w:before="120" w:after="120" w:line="360" w:lineRule="auto"/>
        <w:contextualSpacing/>
        <w:jc w:val="both"/>
        <w:rPr>
          <w:rFonts w:ascii="Palatino Linotype" w:eastAsiaTheme="minorHAnsi" w:hAnsi="Palatino Linotype" w:cstheme="minorBidi"/>
          <w:lang w:val="es-MX"/>
        </w:rPr>
      </w:pPr>
      <w:r w:rsidRPr="00D908FB">
        <w:rPr>
          <w:rFonts w:ascii="Palatino Linotype" w:hAnsi="Palatino Linotype" w:cs="Arial"/>
        </w:rPr>
        <w:t xml:space="preserve">De todo lo anterior, se advierte que el </w:t>
      </w:r>
      <w:r w:rsidRPr="00D908FB">
        <w:rPr>
          <w:rFonts w:ascii="Palatino Linotype" w:hAnsi="Palatino Linotype" w:cs="Arial"/>
          <w:b/>
        </w:rPr>
        <w:t>Sujeto Obligado</w:t>
      </w:r>
      <w:r w:rsidRPr="00D908FB">
        <w:rPr>
          <w:rFonts w:ascii="Palatino Linotype" w:hAnsi="Palatino Linotype" w:cs="Arial"/>
        </w:rPr>
        <w:t xml:space="preserve"> transgrede el derecho de acceso a la información accionado por el particular, toda vez que no dio respuesta que satisficiera la solicitud </w:t>
      </w:r>
      <w:r w:rsidR="000E4850">
        <w:rPr>
          <w:rFonts w:ascii="Palatino Linotype" w:hAnsi="Palatino Linotype" w:cs="Arial"/>
        </w:rPr>
        <w:t>materia del presente asunto</w:t>
      </w:r>
      <w:r w:rsidRPr="00D908FB">
        <w:rPr>
          <w:rFonts w:ascii="Palatino Linotype" w:hAnsi="Palatino Linotype" w:cs="Arial"/>
        </w:rPr>
        <w:t xml:space="preserve">, aunado a lo anterior, es de suma importancia hacer notar que </w:t>
      </w:r>
      <w:r w:rsidRPr="00D908FB">
        <w:rPr>
          <w:rStyle w:val="normaltextrun"/>
          <w:rFonts w:ascii="Palatino Linotype" w:hAnsi="Palatino Linotype" w:cs="Arial"/>
        </w:rPr>
        <w:t xml:space="preserve">la información solicitada constituye </w:t>
      </w:r>
      <w:r w:rsidRPr="00D908FB">
        <w:rPr>
          <w:rFonts w:ascii="Palatino Linotype" w:eastAsiaTheme="minorHAnsi" w:hAnsi="Palatino Linotype" w:cstheme="minorBidi"/>
          <w:lang w:val="es-MX"/>
        </w:rPr>
        <w:t xml:space="preserve">una obligación de transparencia común que el </w:t>
      </w:r>
      <w:r w:rsidRPr="00D908FB">
        <w:rPr>
          <w:rFonts w:ascii="Palatino Linotype" w:eastAsiaTheme="minorHAnsi" w:hAnsi="Palatino Linotype" w:cstheme="minorBidi"/>
          <w:b/>
          <w:lang w:val="es-MX"/>
        </w:rPr>
        <w:t>Sujeto Obligado</w:t>
      </w:r>
      <w:r w:rsidRPr="00D908FB">
        <w:rPr>
          <w:rFonts w:ascii="Palatino Linotype" w:eastAsiaTheme="minorHAnsi" w:hAnsi="Palatino Linotype" w:cstheme="minorBidi"/>
          <w:lang w:val="es-MX"/>
        </w:rPr>
        <w:t xml:space="preserve"> genera, administra y posee en sus archivos, ello conforme a lo previsto por el artículo 92 fracción VIII de la Ley de Transparencia y Acceso a la Información Pública del Estado de México y Municipios; por lo que se encuentra posibilitado a entregarla a la peticionaria, en términos de los artículos aplicables de la referida normatividad</w:t>
      </w:r>
      <w:r w:rsidRPr="00D908FB">
        <w:rPr>
          <w:rFonts w:ascii="Palatino Linotype" w:hAnsi="Palatino Linotype"/>
        </w:rPr>
        <w:t xml:space="preserve">, motivo por el cual los motivos de inconformidad hechos valer en los presentes medios de impugnación, resultan fundados. </w:t>
      </w:r>
    </w:p>
    <w:p w:rsidR="00352C44" w:rsidRPr="00D908FB" w:rsidRDefault="00352C44" w:rsidP="00352C44">
      <w:pPr>
        <w:spacing w:before="240" w:after="240" w:line="360" w:lineRule="auto"/>
        <w:ind w:right="49"/>
        <w:jc w:val="both"/>
        <w:rPr>
          <w:rFonts w:ascii="Palatino Linotype" w:hAnsi="Palatino Linotype"/>
        </w:rPr>
      </w:pPr>
      <w:r w:rsidRPr="00D908FB">
        <w:rPr>
          <w:rFonts w:ascii="Palatino Linotype" w:hAnsi="Palatino Linotype"/>
        </w:rPr>
        <w:t xml:space="preserve">Por otra parte, para efectos de dar claridad a la presente resolución, este Instituto debe precisar que los temas que abarca las solicitudes de información se encuentran contemplados en el disco 4 de </w:t>
      </w:r>
      <w:r w:rsidRPr="00D908FB">
        <w:rPr>
          <w:rFonts w:ascii="Palatino Linotype" w:hAnsi="Palatino Linotype" w:cs="Arial"/>
        </w:rPr>
        <w:t>los Lineamientos para la integración del Informe Mensual</w:t>
      </w:r>
      <w:r w:rsidR="000E4850">
        <w:rPr>
          <w:rFonts w:ascii="Palatino Linotype" w:hAnsi="Palatino Linotype" w:cs="Arial"/>
        </w:rPr>
        <w:t xml:space="preserve"> del 2018</w:t>
      </w:r>
      <w:r w:rsidRPr="00D908FB">
        <w:rPr>
          <w:rFonts w:ascii="Palatino Linotype" w:hAnsi="Palatino Linotype" w:cs="Arial"/>
        </w:rPr>
        <w:t xml:space="preserve"> emitidos por el Órgano Superior de Fiscalización del Estado de México, al respecto debe precisarse que se</w:t>
      </w:r>
      <w:r w:rsidRPr="00D908FB">
        <w:rPr>
          <w:rFonts w:ascii="Palatino Linotype" w:hAnsi="Palatino Linotype"/>
        </w:rPr>
        <w:t xml:space="preserve"> advierte que la “nómina” es una forma de control de pago;</w:t>
      </w:r>
      <w:r w:rsidRPr="00D908FB">
        <w:rPr>
          <w:rFonts w:ascii="Palatino Linotype" w:hAnsi="Palatino Linotype" w:cs="Arial"/>
        </w:rPr>
        <w:t xml:space="preserve"> en nuestra legislación no existe como tal una definición de “recibos de nómina</w:t>
      </w:r>
      <w:r w:rsidRPr="00D908FB">
        <w:rPr>
          <w:rFonts w:ascii="Palatino Linotype" w:hAnsi="Palatino Linotype" w:cs="Arial"/>
          <w:b/>
        </w:rPr>
        <w:t>”</w:t>
      </w:r>
      <w:r w:rsidRPr="00D908FB">
        <w:rPr>
          <w:rFonts w:ascii="Palatino Linotype" w:hAnsi="Palatino Linotype" w:cs="Arial"/>
        </w:rPr>
        <w:t xml:space="preserve"> o “nómina”; sin embargo, el “Glosario de Términos Usuales de Finanzas Públicas” del Centro de Estudios de las Finanzas Públicas de la Cámara de Diputados del H. Congreso de la Unión, el “Glosario de Términos Administrativos”, emitido por el Instituto Nacional de Administración Pública, </w:t>
      </w:r>
      <w:r w:rsidRPr="00D908FB">
        <w:rPr>
          <w:rFonts w:ascii="Palatino Linotype" w:hAnsi="Palatino Linotype" w:cs="Arial"/>
        </w:rPr>
        <w:lastRenderedPageBreak/>
        <w:t xml:space="preserve">A.C. y el “Glosario de Términos para el Proceso de Planeación, Programación, </w:t>
      </w:r>
      <w:proofErr w:type="spellStart"/>
      <w:r w:rsidRPr="00D908FB">
        <w:rPr>
          <w:rFonts w:ascii="Palatino Linotype" w:hAnsi="Palatino Linotype" w:cs="Arial"/>
        </w:rPr>
        <w:t>Presupuestación</w:t>
      </w:r>
      <w:proofErr w:type="spellEnd"/>
      <w:r w:rsidRPr="00D908FB">
        <w:rPr>
          <w:rFonts w:ascii="Palatino Linotype" w:hAnsi="Palatino Linotype" w:cs="Arial"/>
        </w:rPr>
        <w:t xml:space="preserve"> y Evaluación en la Administración Pública”, elaborado por el Grupo de Trabajo de Sistemas de Información Financiera, Contable y Presupuestal de la Comisión Permanente de Funcionarios Fiscales del Instituto para el Desarrollo Técnico de las Haciendas Públicas (INDETEC) señalan la siguiente definición de la palabra nómina:</w:t>
      </w:r>
    </w:p>
    <w:p w:rsidR="00352C44" w:rsidRPr="00D908FB" w:rsidRDefault="00352C44" w:rsidP="00352C44">
      <w:pPr>
        <w:autoSpaceDE w:val="0"/>
        <w:autoSpaceDN w:val="0"/>
        <w:adjustRightInd w:val="0"/>
        <w:ind w:left="1134" w:right="1134"/>
        <w:jc w:val="both"/>
        <w:rPr>
          <w:rFonts w:ascii="Palatino Linotype" w:hAnsi="Palatino Linotype" w:cs="Arial"/>
          <w:i/>
          <w:sz w:val="22"/>
          <w:szCs w:val="22"/>
          <w:lang w:eastAsia="es-MX"/>
        </w:rPr>
      </w:pPr>
      <w:r w:rsidRPr="00D908FB">
        <w:rPr>
          <w:rFonts w:ascii="Palatino Linotype" w:hAnsi="Palatino Linotype" w:cs="Arial"/>
          <w:b/>
          <w:bCs/>
          <w:i/>
          <w:sz w:val="22"/>
          <w:szCs w:val="22"/>
          <w:lang w:eastAsia="es-MX"/>
        </w:rPr>
        <w:t xml:space="preserve">“NÓMINA </w:t>
      </w:r>
      <w:r w:rsidRPr="00D908FB">
        <w:rPr>
          <w:rFonts w:ascii="Palatino Linotype" w:hAnsi="Palatino Linotype" w:cs="Arial"/>
          <w:i/>
          <w:sz w:val="22"/>
          <w:szCs w:val="22"/>
          <w:lang w:eastAsia="es-MX"/>
        </w:rPr>
        <w:t>Listado general de los trabajadores de una institución, en</w:t>
      </w:r>
      <w:r w:rsidRPr="00D908FB">
        <w:rPr>
          <w:rFonts w:ascii="Palatino Linotype" w:hAnsi="Palatino Linotype" w:cs="Arial"/>
          <w:b/>
          <w:bCs/>
          <w:i/>
          <w:sz w:val="22"/>
          <w:szCs w:val="22"/>
          <w:lang w:eastAsia="es-MX"/>
        </w:rPr>
        <w:t xml:space="preserve"> </w:t>
      </w:r>
      <w:r w:rsidRPr="00D908FB">
        <w:rPr>
          <w:rFonts w:ascii="Palatino Linotype" w:hAnsi="Palatino Linotype" w:cs="Arial"/>
          <w:i/>
          <w:sz w:val="22"/>
          <w:szCs w:val="22"/>
          <w:lang w:eastAsia="es-MX"/>
        </w:rPr>
        <w:t>el cual se asientan las percepciones brutas, deducciones y</w:t>
      </w:r>
      <w:r w:rsidRPr="00D908FB">
        <w:rPr>
          <w:rFonts w:ascii="Palatino Linotype" w:hAnsi="Palatino Linotype" w:cs="Arial"/>
          <w:b/>
          <w:bCs/>
          <w:i/>
          <w:sz w:val="22"/>
          <w:szCs w:val="22"/>
          <w:lang w:eastAsia="es-MX"/>
        </w:rPr>
        <w:t xml:space="preserve"> </w:t>
      </w:r>
      <w:r w:rsidRPr="00D908FB">
        <w:rPr>
          <w:rFonts w:ascii="Palatino Linotype" w:hAnsi="Palatino Linotype" w:cs="Arial"/>
          <w:i/>
          <w:sz w:val="22"/>
          <w:szCs w:val="22"/>
          <w:lang w:eastAsia="es-MX"/>
        </w:rPr>
        <w:t>alcance neto de las mismas; la nómina es utilizada para</w:t>
      </w:r>
      <w:r w:rsidRPr="00D908FB">
        <w:rPr>
          <w:rFonts w:ascii="Palatino Linotype" w:hAnsi="Palatino Linotype" w:cs="Arial"/>
          <w:b/>
          <w:bCs/>
          <w:i/>
          <w:sz w:val="22"/>
          <w:szCs w:val="22"/>
          <w:lang w:eastAsia="es-MX"/>
        </w:rPr>
        <w:t xml:space="preserve"> </w:t>
      </w:r>
      <w:r w:rsidRPr="00D908FB">
        <w:rPr>
          <w:rFonts w:ascii="Palatino Linotype" w:hAnsi="Palatino Linotype" w:cs="Arial"/>
          <w:i/>
          <w:sz w:val="22"/>
          <w:szCs w:val="22"/>
          <w:lang w:eastAsia="es-MX"/>
        </w:rPr>
        <w:t>efectuar los pagos periódicos (semanales, quincenales o</w:t>
      </w:r>
      <w:r w:rsidRPr="00D908FB">
        <w:rPr>
          <w:rFonts w:ascii="Palatino Linotype" w:hAnsi="Palatino Linotype" w:cs="Arial"/>
          <w:b/>
          <w:bCs/>
          <w:i/>
          <w:sz w:val="22"/>
          <w:szCs w:val="22"/>
          <w:lang w:eastAsia="es-MX"/>
        </w:rPr>
        <w:t xml:space="preserve"> </w:t>
      </w:r>
      <w:r w:rsidRPr="00D908FB">
        <w:rPr>
          <w:rFonts w:ascii="Palatino Linotype" w:hAnsi="Palatino Linotype" w:cs="Arial"/>
          <w:i/>
          <w:sz w:val="22"/>
          <w:szCs w:val="22"/>
          <w:lang w:eastAsia="es-MX"/>
        </w:rPr>
        <w:t>mensuales) a los trabajadores por concepto de sueldos y</w:t>
      </w:r>
      <w:r w:rsidRPr="00D908FB">
        <w:rPr>
          <w:rFonts w:ascii="Palatino Linotype" w:hAnsi="Palatino Linotype" w:cs="Arial"/>
          <w:b/>
          <w:bCs/>
          <w:i/>
          <w:sz w:val="22"/>
          <w:szCs w:val="22"/>
          <w:lang w:eastAsia="es-MX"/>
        </w:rPr>
        <w:t xml:space="preserve"> </w:t>
      </w:r>
      <w:r w:rsidRPr="00D908FB">
        <w:rPr>
          <w:rFonts w:ascii="Palatino Linotype" w:hAnsi="Palatino Linotype" w:cs="Arial"/>
          <w:i/>
          <w:sz w:val="22"/>
          <w:szCs w:val="22"/>
          <w:lang w:eastAsia="es-MX"/>
        </w:rPr>
        <w:t>salarios.”</w:t>
      </w:r>
    </w:p>
    <w:p w:rsidR="00352C44" w:rsidRPr="00D908FB" w:rsidRDefault="00352C44" w:rsidP="00352C44">
      <w:pPr>
        <w:spacing w:line="360" w:lineRule="auto"/>
        <w:ind w:right="51"/>
        <w:jc w:val="both"/>
        <w:rPr>
          <w:rFonts w:ascii="Palatino Linotype" w:hAnsi="Palatino Linotype" w:cs="Arial"/>
          <w:sz w:val="22"/>
          <w:szCs w:val="22"/>
        </w:rPr>
      </w:pPr>
    </w:p>
    <w:p w:rsidR="00352C44" w:rsidRPr="00D908FB" w:rsidRDefault="00352C44" w:rsidP="00352C44">
      <w:pPr>
        <w:spacing w:before="240" w:after="240" w:line="360" w:lineRule="auto"/>
        <w:ind w:right="51"/>
        <w:jc w:val="both"/>
        <w:rPr>
          <w:rFonts w:ascii="Palatino Linotype" w:hAnsi="Palatino Linotype" w:cs="Arial"/>
        </w:rPr>
      </w:pPr>
      <w:r w:rsidRPr="00D908FB">
        <w:rPr>
          <w:rFonts w:ascii="Palatino Linotype" w:hAnsi="Palatino Linotype" w:cs="Arial"/>
        </w:rPr>
        <w:t xml:space="preserve">Si bien es cierto, nuestra legislación no establece la definición de “nómina”, este término se encuentra contemplado en el artículo 804 fracciones II y IV de la Ley Federal de Trabajo, tal y como se muestra a continuación: </w:t>
      </w:r>
    </w:p>
    <w:p w:rsidR="00352C44" w:rsidRPr="00D908FB" w:rsidRDefault="00352C44" w:rsidP="00352C44">
      <w:pPr>
        <w:pStyle w:val="Textosinformato"/>
        <w:ind w:left="1134" w:right="1134"/>
        <w:jc w:val="both"/>
        <w:rPr>
          <w:rFonts w:ascii="Palatino Linotype" w:eastAsia="MS Mincho" w:hAnsi="Palatino Linotype" w:cs="Arial"/>
          <w:b/>
          <w:i/>
          <w:sz w:val="22"/>
          <w:szCs w:val="22"/>
        </w:rPr>
      </w:pPr>
      <w:r w:rsidRPr="00D908FB">
        <w:rPr>
          <w:rFonts w:ascii="Palatino Linotype" w:eastAsia="MS Mincho" w:hAnsi="Palatino Linotype" w:cs="Arial"/>
          <w:b/>
          <w:bCs/>
          <w:i/>
          <w:sz w:val="22"/>
          <w:szCs w:val="22"/>
        </w:rPr>
        <w:t>“Artículo 804.-</w:t>
      </w:r>
      <w:r w:rsidRPr="00D908FB">
        <w:rPr>
          <w:rFonts w:ascii="Palatino Linotype" w:eastAsia="MS Mincho" w:hAnsi="Palatino Linotype" w:cs="Arial"/>
          <w:i/>
          <w:sz w:val="22"/>
          <w:szCs w:val="22"/>
        </w:rPr>
        <w:t xml:space="preserve"> </w:t>
      </w:r>
      <w:r w:rsidRPr="00D908FB">
        <w:rPr>
          <w:rFonts w:ascii="Palatino Linotype" w:eastAsia="MS Mincho" w:hAnsi="Palatino Linotype" w:cs="Arial"/>
          <w:b/>
          <w:i/>
          <w:sz w:val="22"/>
          <w:szCs w:val="22"/>
        </w:rPr>
        <w:t>El patrón tiene obligación de conservar y exhibir en juicio los documentos que a continuación se precisan:</w:t>
      </w:r>
    </w:p>
    <w:p w:rsidR="00352C44" w:rsidRPr="00D908FB" w:rsidRDefault="00352C44" w:rsidP="00352C44">
      <w:pPr>
        <w:pStyle w:val="Textosinformato"/>
        <w:ind w:left="1134" w:right="1134"/>
        <w:jc w:val="both"/>
        <w:rPr>
          <w:rFonts w:ascii="Palatino Linotype" w:eastAsia="MS Mincho" w:hAnsi="Palatino Linotype" w:cs="Arial"/>
          <w:i/>
          <w:sz w:val="22"/>
          <w:szCs w:val="22"/>
        </w:rPr>
      </w:pPr>
      <w:r w:rsidRPr="00D908FB">
        <w:rPr>
          <w:rFonts w:ascii="Palatino Linotype" w:eastAsia="MS Mincho" w:hAnsi="Palatino Linotype" w:cs="Arial"/>
          <w:i/>
          <w:sz w:val="22"/>
          <w:szCs w:val="22"/>
        </w:rPr>
        <w:t>(…)</w:t>
      </w:r>
    </w:p>
    <w:p w:rsidR="00352C44" w:rsidRPr="00D908FB" w:rsidRDefault="00352C44" w:rsidP="00352C44">
      <w:pPr>
        <w:pStyle w:val="Textosinformato"/>
        <w:ind w:left="1134" w:right="1134"/>
        <w:jc w:val="both"/>
        <w:rPr>
          <w:rFonts w:ascii="Palatino Linotype" w:eastAsia="MS Mincho" w:hAnsi="Palatino Linotype" w:cs="Arial"/>
          <w:i/>
          <w:sz w:val="22"/>
          <w:szCs w:val="22"/>
        </w:rPr>
      </w:pPr>
      <w:r w:rsidRPr="00D908FB">
        <w:rPr>
          <w:rFonts w:ascii="Palatino Linotype" w:eastAsia="MS Mincho" w:hAnsi="Palatino Linotype" w:cs="Arial"/>
          <w:b/>
          <w:i/>
          <w:sz w:val="22"/>
          <w:szCs w:val="22"/>
        </w:rPr>
        <w:t>II.</w:t>
      </w:r>
      <w:r w:rsidRPr="00D908FB">
        <w:rPr>
          <w:rFonts w:ascii="Palatino Linotype" w:eastAsia="MS Mincho" w:hAnsi="Palatino Linotype" w:cs="Arial"/>
          <w:i/>
          <w:sz w:val="22"/>
          <w:szCs w:val="22"/>
        </w:rPr>
        <w:t xml:space="preserve"> Listas de raya o </w:t>
      </w:r>
      <w:r w:rsidRPr="00D908FB">
        <w:rPr>
          <w:rFonts w:ascii="Palatino Linotype" w:eastAsia="MS Mincho" w:hAnsi="Palatino Linotype" w:cs="Arial"/>
          <w:b/>
          <w:i/>
          <w:sz w:val="22"/>
          <w:szCs w:val="22"/>
        </w:rPr>
        <w:t>nómina de personal</w:t>
      </w:r>
      <w:r w:rsidRPr="00D908FB">
        <w:rPr>
          <w:rFonts w:ascii="Palatino Linotype" w:eastAsia="MS Mincho" w:hAnsi="Palatino Linotype" w:cs="Arial"/>
          <w:i/>
          <w:sz w:val="22"/>
          <w:szCs w:val="22"/>
        </w:rPr>
        <w:t>, cuando se lleven en el centro de trabajo; o recibos de pagos de salarios;</w:t>
      </w:r>
    </w:p>
    <w:p w:rsidR="00352C44" w:rsidRPr="00D908FB" w:rsidRDefault="00352C44" w:rsidP="00352C44">
      <w:pPr>
        <w:pStyle w:val="Textosinformato"/>
        <w:ind w:left="1134" w:right="1134"/>
        <w:jc w:val="both"/>
        <w:rPr>
          <w:rFonts w:ascii="Palatino Linotype" w:eastAsia="MS Mincho" w:hAnsi="Palatino Linotype" w:cs="Arial"/>
          <w:i/>
          <w:sz w:val="22"/>
          <w:szCs w:val="22"/>
        </w:rPr>
      </w:pPr>
      <w:r w:rsidRPr="00D908FB">
        <w:rPr>
          <w:rFonts w:ascii="Palatino Linotype" w:eastAsia="MS Mincho" w:hAnsi="Palatino Linotype" w:cs="Arial"/>
          <w:i/>
          <w:sz w:val="22"/>
          <w:szCs w:val="22"/>
        </w:rPr>
        <w:t>(…)</w:t>
      </w:r>
    </w:p>
    <w:p w:rsidR="00352C44" w:rsidRPr="00D908FB" w:rsidRDefault="00352C44" w:rsidP="00352C44">
      <w:pPr>
        <w:pStyle w:val="Texto"/>
        <w:spacing w:after="0" w:line="240" w:lineRule="auto"/>
        <w:ind w:left="1134" w:right="1134" w:firstLine="0"/>
        <w:rPr>
          <w:rFonts w:ascii="Palatino Linotype" w:hAnsi="Palatino Linotype"/>
          <w:i/>
          <w:sz w:val="22"/>
          <w:szCs w:val="22"/>
        </w:rPr>
      </w:pPr>
      <w:r w:rsidRPr="00D908FB">
        <w:rPr>
          <w:rFonts w:ascii="Palatino Linotype" w:hAnsi="Palatino Linotype"/>
          <w:b/>
          <w:i/>
          <w:sz w:val="22"/>
          <w:szCs w:val="22"/>
        </w:rPr>
        <w:t>IV.</w:t>
      </w:r>
      <w:r w:rsidRPr="00D908FB">
        <w:rPr>
          <w:rFonts w:ascii="Palatino Linotype" w:hAnsi="Palatino Linotype"/>
          <w:i/>
          <w:sz w:val="22"/>
          <w:szCs w:val="22"/>
        </w:rPr>
        <w:t xml:space="preserve"> Comprobantes de pago de participación de utilidades, de vacaciones y de aguinaldos, así como las primas a que se refiere esta Ley, y pagos, aportaciones y cuotas de seguridad social; y</w:t>
      </w:r>
    </w:p>
    <w:p w:rsidR="00352C44" w:rsidRPr="00D908FB" w:rsidRDefault="00352C44" w:rsidP="00352C44">
      <w:pPr>
        <w:pStyle w:val="Textosinformato"/>
        <w:ind w:left="1134" w:right="1134"/>
        <w:jc w:val="both"/>
        <w:rPr>
          <w:rFonts w:ascii="Palatino Linotype" w:eastAsia="MS Mincho" w:hAnsi="Palatino Linotype" w:cs="Arial"/>
          <w:i/>
          <w:sz w:val="22"/>
          <w:szCs w:val="22"/>
        </w:rPr>
      </w:pPr>
      <w:r w:rsidRPr="00D908FB">
        <w:rPr>
          <w:rFonts w:ascii="Palatino Linotype" w:eastAsia="MS Mincho" w:hAnsi="Palatino Linotype" w:cs="Arial"/>
          <w:i/>
          <w:sz w:val="22"/>
          <w:szCs w:val="22"/>
        </w:rPr>
        <w:t xml:space="preserve"> (…)</w:t>
      </w:r>
    </w:p>
    <w:p w:rsidR="00352C44" w:rsidRPr="00D908FB" w:rsidRDefault="00352C44" w:rsidP="00352C44">
      <w:pPr>
        <w:pStyle w:val="Texto"/>
        <w:spacing w:after="0" w:line="240" w:lineRule="auto"/>
        <w:ind w:left="1134" w:right="1134" w:firstLine="0"/>
        <w:rPr>
          <w:rFonts w:ascii="Palatino Linotype" w:hAnsi="Palatino Linotype"/>
          <w:i/>
          <w:sz w:val="22"/>
          <w:szCs w:val="22"/>
        </w:rPr>
      </w:pPr>
      <w:r w:rsidRPr="00D908FB">
        <w:rPr>
          <w:rFonts w:ascii="Palatino Linotype" w:hAnsi="Palatino Linotype"/>
          <w:i/>
          <w:sz w:val="22"/>
          <w:szCs w:val="22"/>
        </w:rPr>
        <w:t>Los documentos señalados en la fracción I deberán conservarse mientras dure la relación laboral y hasta un año después; los señalados en las fracciones II, III y IV, durante el último año y un año después de que se extinga la relación laboral; y los mencionados en la fracción V, conforme lo señalen las Leyes que los rijan.”</w:t>
      </w:r>
    </w:p>
    <w:p w:rsidR="00352C44" w:rsidRPr="00D908FB" w:rsidRDefault="00352C44" w:rsidP="00352C44">
      <w:pPr>
        <w:pStyle w:val="Texto"/>
        <w:spacing w:after="0" w:line="240" w:lineRule="auto"/>
        <w:ind w:left="1134" w:right="1134" w:firstLine="0"/>
        <w:rPr>
          <w:rFonts w:ascii="Palatino Linotype" w:hAnsi="Palatino Linotype"/>
          <w:i/>
          <w:sz w:val="22"/>
          <w:szCs w:val="22"/>
        </w:rPr>
      </w:pPr>
      <w:r w:rsidRPr="00D908FB">
        <w:rPr>
          <w:rFonts w:ascii="Palatino Linotype" w:hAnsi="Palatino Linotype"/>
          <w:i/>
          <w:sz w:val="22"/>
          <w:szCs w:val="22"/>
        </w:rPr>
        <w:t>(Énfasis añadido).</w:t>
      </w:r>
    </w:p>
    <w:p w:rsidR="00352C44" w:rsidRPr="00D908FB" w:rsidRDefault="00352C44" w:rsidP="00352C44">
      <w:pPr>
        <w:spacing w:before="240" w:after="240" w:line="360" w:lineRule="auto"/>
        <w:jc w:val="both"/>
        <w:rPr>
          <w:rFonts w:ascii="Palatino Linotype" w:hAnsi="Palatino Linotype" w:cs="Arial"/>
          <w:lang w:eastAsia="es-MX"/>
        </w:rPr>
      </w:pPr>
      <w:r w:rsidRPr="00D908FB">
        <w:rPr>
          <w:rFonts w:ascii="Palatino Linotype" w:hAnsi="Palatino Linotype" w:cs="Arial"/>
          <w:lang w:eastAsia="es-MX"/>
        </w:rPr>
        <w:lastRenderedPageBreak/>
        <w:t xml:space="preserve">A lo anterior se suma, lo establecido en los artículos 94 fracción I y 99 </w:t>
      </w:r>
      <w:proofErr w:type="gramStart"/>
      <w:r w:rsidRPr="00D908FB">
        <w:rPr>
          <w:rFonts w:ascii="Palatino Linotype" w:hAnsi="Palatino Linotype" w:cs="Arial"/>
          <w:lang w:eastAsia="es-MX"/>
        </w:rPr>
        <w:t>fracción</w:t>
      </w:r>
      <w:proofErr w:type="gramEnd"/>
      <w:r w:rsidRPr="00D908FB">
        <w:rPr>
          <w:rFonts w:ascii="Palatino Linotype" w:hAnsi="Palatino Linotype" w:cs="Arial"/>
          <w:lang w:eastAsia="es-MX"/>
        </w:rPr>
        <w:t xml:space="preserve"> III de la Ley del Impuesto Sobre la Renta, los cuales hacen mención a las remuneraciones de los servidores públicos y que refieren lo siguiente:</w:t>
      </w:r>
    </w:p>
    <w:p w:rsidR="00352C44" w:rsidRPr="00D908FB" w:rsidRDefault="00352C44" w:rsidP="00352C44">
      <w:pPr>
        <w:ind w:left="1134" w:right="1134"/>
        <w:jc w:val="both"/>
        <w:rPr>
          <w:rFonts w:ascii="Palatino Linotype" w:hAnsi="Palatino Linotype" w:cs="Arial"/>
          <w:i/>
          <w:sz w:val="22"/>
          <w:szCs w:val="22"/>
          <w:lang w:eastAsia="es-MX"/>
        </w:rPr>
      </w:pPr>
      <w:r w:rsidRPr="00D908FB">
        <w:rPr>
          <w:rFonts w:ascii="Palatino Linotype" w:hAnsi="Palatino Linotype" w:cs="Arial"/>
          <w:i/>
          <w:sz w:val="22"/>
          <w:szCs w:val="22"/>
          <w:lang w:eastAsia="es-MX"/>
        </w:rPr>
        <w:t xml:space="preserve">Artículo 94. </w:t>
      </w:r>
      <w:r w:rsidRPr="00D908FB">
        <w:rPr>
          <w:rFonts w:ascii="Palatino Linotype" w:hAnsi="Palatino Linotype" w:cs="Arial"/>
          <w:b/>
          <w:i/>
          <w:sz w:val="22"/>
          <w:szCs w:val="22"/>
          <w:lang w:eastAsia="es-MX"/>
        </w:rPr>
        <w:t>Se consideran ingresos por la prestación de un servicio personal subordinado, los salarios y demás prestaciones que deriven de una relación laboral,</w:t>
      </w:r>
      <w:r w:rsidRPr="00D908FB">
        <w:rPr>
          <w:rFonts w:ascii="Palatino Linotype" w:hAnsi="Palatino Linotype" w:cs="Arial"/>
          <w:i/>
          <w:sz w:val="22"/>
          <w:szCs w:val="22"/>
          <w:lang w:eastAsia="es-MX"/>
        </w:rPr>
        <w:t xml:space="preserve"> incluyendo la participación de los trabajadores en las utilidades de las empresas y las prestaciones percibidas como consecuencia de la terminación de la relación laboral. Para los efectos de este impuesto, se asimilan a estos ingresos los siguientes:</w:t>
      </w:r>
    </w:p>
    <w:p w:rsidR="00352C44" w:rsidRPr="00D908FB" w:rsidRDefault="00352C44" w:rsidP="00352C44">
      <w:pPr>
        <w:ind w:left="1134" w:right="1134"/>
        <w:jc w:val="both"/>
        <w:rPr>
          <w:rFonts w:ascii="Palatino Linotype" w:hAnsi="Palatino Linotype" w:cs="Arial"/>
          <w:i/>
          <w:sz w:val="22"/>
          <w:szCs w:val="22"/>
          <w:lang w:eastAsia="es-MX"/>
        </w:rPr>
      </w:pPr>
    </w:p>
    <w:p w:rsidR="00352C44" w:rsidRPr="00D908FB" w:rsidRDefault="00352C44" w:rsidP="00352C44">
      <w:pPr>
        <w:ind w:left="1134" w:right="1134"/>
        <w:jc w:val="both"/>
        <w:rPr>
          <w:rFonts w:ascii="Palatino Linotype" w:hAnsi="Palatino Linotype" w:cs="Arial"/>
          <w:i/>
          <w:sz w:val="22"/>
          <w:szCs w:val="22"/>
          <w:lang w:eastAsia="es-MX"/>
        </w:rPr>
      </w:pPr>
      <w:r w:rsidRPr="00D908FB">
        <w:rPr>
          <w:rFonts w:ascii="Palatino Linotype" w:hAnsi="Palatino Linotype" w:cs="Arial"/>
          <w:i/>
          <w:sz w:val="22"/>
          <w:szCs w:val="22"/>
          <w:lang w:eastAsia="es-MX"/>
        </w:rPr>
        <w:t>I.</w:t>
      </w:r>
      <w:r w:rsidRPr="00D908FB">
        <w:rPr>
          <w:rFonts w:ascii="Palatino Linotype" w:hAnsi="Palatino Linotype" w:cs="Arial"/>
          <w:i/>
          <w:sz w:val="22"/>
          <w:szCs w:val="22"/>
          <w:lang w:eastAsia="es-MX"/>
        </w:rPr>
        <w:tab/>
        <w:t xml:space="preserve"> </w:t>
      </w:r>
      <w:r w:rsidRPr="00D908FB">
        <w:rPr>
          <w:rFonts w:ascii="Palatino Linotype" w:hAnsi="Palatino Linotype" w:cs="Arial"/>
          <w:b/>
          <w:i/>
          <w:sz w:val="22"/>
          <w:szCs w:val="22"/>
          <w:lang w:eastAsia="es-MX"/>
        </w:rPr>
        <w:t>Las remuneraciones y demás prestaciones, obtenidas por los funcionarios y trabajadores</w:t>
      </w:r>
      <w:r w:rsidRPr="00D908FB">
        <w:rPr>
          <w:rFonts w:ascii="Palatino Linotype" w:hAnsi="Palatino Linotype" w:cs="Arial"/>
          <w:i/>
          <w:sz w:val="22"/>
          <w:szCs w:val="22"/>
          <w:lang w:eastAsia="es-MX"/>
        </w:rPr>
        <w:t xml:space="preserve"> de la Federación, </w:t>
      </w:r>
      <w:r w:rsidRPr="00D908FB">
        <w:rPr>
          <w:rFonts w:ascii="Palatino Linotype" w:hAnsi="Palatino Linotype" w:cs="Arial"/>
          <w:b/>
          <w:i/>
          <w:sz w:val="22"/>
          <w:szCs w:val="22"/>
          <w:lang w:eastAsia="es-MX"/>
        </w:rPr>
        <w:t>de las entidades federativas</w:t>
      </w:r>
      <w:r w:rsidRPr="00D908FB">
        <w:rPr>
          <w:rFonts w:ascii="Palatino Linotype" w:hAnsi="Palatino Linotype" w:cs="Arial"/>
          <w:i/>
          <w:sz w:val="22"/>
          <w:szCs w:val="22"/>
          <w:lang w:eastAsia="es-MX"/>
        </w:rPr>
        <w:t xml:space="preserve"> y de los municipios, aun cuando sean por concepto de gastos no sujetos a comprobación, así como los obtenidos por los miembros de las fuerzas armadas.</w:t>
      </w:r>
    </w:p>
    <w:p w:rsidR="00352C44" w:rsidRPr="00D908FB" w:rsidRDefault="00352C44" w:rsidP="00352C44">
      <w:pPr>
        <w:ind w:left="1134" w:right="1134"/>
        <w:jc w:val="both"/>
        <w:rPr>
          <w:rFonts w:ascii="Palatino Linotype" w:hAnsi="Palatino Linotype" w:cs="Arial"/>
          <w:i/>
          <w:sz w:val="22"/>
          <w:szCs w:val="22"/>
          <w:lang w:eastAsia="es-MX"/>
        </w:rPr>
      </w:pPr>
      <w:r w:rsidRPr="00D908FB">
        <w:rPr>
          <w:rFonts w:ascii="Palatino Linotype" w:hAnsi="Palatino Linotype" w:cs="Arial"/>
          <w:i/>
          <w:sz w:val="22"/>
          <w:szCs w:val="22"/>
          <w:lang w:eastAsia="es-MX"/>
        </w:rPr>
        <w:t>(…)</w:t>
      </w:r>
    </w:p>
    <w:p w:rsidR="00352C44" w:rsidRPr="00D908FB" w:rsidRDefault="00352C44" w:rsidP="00352C44">
      <w:pPr>
        <w:ind w:left="1134" w:right="1134"/>
        <w:jc w:val="both"/>
        <w:rPr>
          <w:rFonts w:ascii="Palatino Linotype" w:hAnsi="Palatino Linotype" w:cs="Arial"/>
          <w:i/>
          <w:sz w:val="22"/>
          <w:szCs w:val="22"/>
          <w:lang w:eastAsia="es-MX"/>
        </w:rPr>
      </w:pPr>
    </w:p>
    <w:p w:rsidR="00352C44" w:rsidRPr="00D908FB" w:rsidRDefault="00352C44" w:rsidP="00352C44">
      <w:pPr>
        <w:ind w:left="1134" w:right="1134"/>
        <w:jc w:val="both"/>
        <w:rPr>
          <w:rFonts w:ascii="Palatino Linotype" w:hAnsi="Palatino Linotype" w:cs="Arial"/>
          <w:i/>
          <w:sz w:val="22"/>
          <w:szCs w:val="22"/>
          <w:lang w:eastAsia="es-MX"/>
        </w:rPr>
      </w:pPr>
      <w:r w:rsidRPr="00D908FB">
        <w:rPr>
          <w:rFonts w:ascii="Palatino Linotype" w:hAnsi="Palatino Linotype" w:cs="Arial"/>
          <w:i/>
          <w:sz w:val="22"/>
          <w:szCs w:val="22"/>
          <w:lang w:eastAsia="es-MX"/>
        </w:rPr>
        <w:t>Artículo 99. Quienes hagan pagos por los conceptos a que se refiere este Capítulo, tendrán las siguientes obligaciones:</w:t>
      </w:r>
    </w:p>
    <w:p w:rsidR="00352C44" w:rsidRPr="00D908FB" w:rsidRDefault="00352C44" w:rsidP="00352C44">
      <w:pPr>
        <w:ind w:left="1134" w:right="1134"/>
        <w:jc w:val="both"/>
        <w:rPr>
          <w:rFonts w:ascii="Palatino Linotype" w:hAnsi="Palatino Linotype" w:cs="Arial"/>
          <w:i/>
          <w:sz w:val="22"/>
          <w:szCs w:val="22"/>
          <w:lang w:eastAsia="es-MX"/>
        </w:rPr>
      </w:pPr>
      <w:r w:rsidRPr="00D908FB">
        <w:rPr>
          <w:rFonts w:ascii="Palatino Linotype" w:hAnsi="Palatino Linotype" w:cs="Arial"/>
          <w:i/>
          <w:sz w:val="22"/>
          <w:szCs w:val="22"/>
          <w:lang w:eastAsia="es-MX"/>
        </w:rPr>
        <w:t>(…)</w:t>
      </w:r>
    </w:p>
    <w:p w:rsidR="00352C44" w:rsidRPr="00D908FB" w:rsidRDefault="00352C44" w:rsidP="00352C44">
      <w:pPr>
        <w:ind w:left="1134" w:right="1134"/>
        <w:jc w:val="both"/>
        <w:rPr>
          <w:rFonts w:ascii="Palatino Linotype" w:hAnsi="Palatino Linotype" w:cs="Arial"/>
          <w:i/>
          <w:sz w:val="22"/>
          <w:szCs w:val="22"/>
          <w:lang w:eastAsia="es-MX"/>
        </w:rPr>
      </w:pPr>
    </w:p>
    <w:p w:rsidR="00352C44" w:rsidRPr="00D908FB" w:rsidRDefault="00352C44" w:rsidP="00352C44">
      <w:pPr>
        <w:ind w:left="1134" w:right="1134"/>
        <w:jc w:val="both"/>
        <w:rPr>
          <w:rFonts w:ascii="Palatino Linotype" w:hAnsi="Palatino Linotype" w:cs="Arial"/>
          <w:i/>
          <w:sz w:val="22"/>
          <w:szCs w:val="22"/>
          <w:lang w:eastAsia="es-MX"/>
        </w:rPr>
      </w:pPr>
      <w:r w:rsidRPr="00D908FB">
        <w:rPr>
          <w:rFonts w:ascii="Palatino Linotype" w:hAnsi="Palatino Linotype" w:cs="Arial"/>
          <w:i/>
          <w:sz w:val="22"/>
          <w:szCs w:val="22"/>
          <w:lang w:eastAsia="es-MX"/>
        </w:rPr>
        <w:t>III.</w:t>
      </w:r>
      <w:r w:rsidRPr="00D908FB">
        <w:rPr>
          <w:rFonts w:ascii="Palatino Linotype" w:hAnsi="Palatino Linotype" w:cs="Arial"/>
          <w:i/>
          <w:sz w:val="22"/>
          <w:szCs w:val="22"/>
          <w:lang w:eastAsia="es-MX"/>
        </w:rPr>
        <w:tab/>
      </w:r>
      <w:r w:rsidRPr="00D908FB">
        <w:rPr>
          <w:rFonts w:ascii="Palatino Linotype" w:hAnsi="Palatino Linotype" w:cs="Arial"/>
          <w:b/>
          <w:i/>
          <w:sz w:val="22"/>
          <w:szCs w:val="22"/>
          <w:lang w:eastAsia="es-MX"/>
        </w:rPr>
        <w:t>Expedir y entregar comprobantes fiscales a las personas que reciban pagos por los conceptos a que se refiere este Capítulo</w:t>
      </w:r>
      <w:r w:rsidRPr="00D908FB">
        <w:rPr>
          <w:rFonts w:ascii="Palatino Linotype" w:hAnsi="Palatino Linotype" w:cs="Arial"/>
          <w:i/>
          <w:sz w:val="22"/>
          <w:szCs w:val="22"/>
          <w:lang w:eastAsia="es-MX"/>
        </w:rPr>
        <w:t>, en la fecha en que se realice la erogación correspondiente, los cuales podrán utilizarse como constancia o recibo de pago para efectos de la legislación laboral a que se refieren los artículos 132 fracciones VII y VIII, y 804, primer párrafo, fracciones II y IV, de la Ley Federal de Trabajo.</w:t>
      </w:r>
    </w:p>
    <w:p w:rsidR="00352C44" w:rsidRPr="00D908FB" w:rsidRDefault="00352C44" w:rsidP="00352C44">
      <w:pPr>
        <w:ind w:left="1134" w:right="1134"/>
        <w:jc w:val="both"/>
        <w:rPr>
          <w:rFonts w:ascii="Palatino Linotype" w:hAnsi="Palatino Linotype" w:cs="Arial"/>
          <w:i/>
          <w:sz w:val="22"/>
          <w:szCs w:val="22"/>
          <w:lang w:eastAsia="es-MX"/>
        </w:rPr>
      </w:pPr>
    </w:p>
    <w:p w:rsidR="00352C44" w:rsidRPr="00D908FB" w:rsidRDefault="00352C44" w:rsidP="00352C44">
      <w:pPr>
        <w:spacing w:before="240" w:after="240" w:line="360" w:lineRule="auto"/>
        <w:jc w:val="both"/>
        <w:rPr>
          <w:rFonts w:ascii="Palatino Linotype" w:hAnsi="Palatino Linotype" w:cs="Arial"/>
          <w:lang w:eastAsia="es-MX"/>
        </w:rPr>
      </w:pPr>
      <w:r w:rsidRPr="00D908FB">
        <w:rPr>
          <w:rFonts w:ascii="Palatino Linotype" w:hAnsi="Palatino Linotype" w:cs="Arial"/>
          <w:lang w:eastAsia="es-MX"/>
        </w:rPr>
        <w:t xml:space="preserve">Así también, la Regla 2.7.5.3., de la Resolución Miscelánea Fiscal para el ejercicio 2016, publicada en el Diario Oficial de la Federación el 23 de diciembre de 2015, indica que para los efectos de los artículos 29, fracción V del Código Fiscal de la Federación y 99, fracción III de la Ley del Impuesto Sobre la Renta, los contribuyentes entregarán o enviarán a sus trabajadores el comprobante fiscal </w:t>
      </w:r>
      <w:r w:rsidRPr="00D908FB">
        <w:rPr>
          <w:rFonts w:ascii="Palatino Linotype" w:hAnsi="Palatino Linotype" w:cs="Arial"/>
          <w:lang w:eastAsia="es-MX"/>
        </w:rPr>
        <w:lastRenderedPageBreak/>
        <w:t>digital CFDI, en un archivo con el formato electrónico XML de las remuneraciones cubiertas.</w:t>
      </w:r>
    </w:p>
    <w:p w:rsidR="00352C44" w:rsidRPr="00D908FB" w:rsidRDefault="00352C44" w:rsidP="00352C44">
      <w:pPr>
        <w:spacing w:before="240" w:after="240" w:line="360" w:lineRule="auto"/>
        <w:jc w:val="both"/>
        <w:rPr>
          <w:rFonts w:ascii="Palatino Linotype" w:hAnsi="Palatino Linotype" w:cs="Arial"/>
          <w:lang w:eastAsia="es-MX"/>
        </w:rPr>
      </w:pPr>
      <w:r w:rsidRPr="00D908FB">
        <w:rPr>
          <w:rFonts w:ascii="Palatino Linotype" w:hAnsi="Palatino Linotype" w:cs="Arial"/>
        </w:rPr>
        <w:t xml:space="preserve">De los preceptos legales citados, se puede llegar a la conclusión de que la nómina consiste en un registro conformado por el conjunto de trabajadores a los cuales se les va a remunerar por </w:t>
      </w:r>
      <w:r w:rsidRPr="000E4850">
        <w:rPr>
          <w:rFonts w:ascii="Palatino Linotype" w:hAnsi="Palatino Linotype" w:cs="Arial"/>
        </w:rPr>
        <w:t xml:space="preserve">los </w:t>
      </w:r>
      <w:hyperlink r:id="rId7" w:history="1">
        <w:r w:rsidRPr="000E4850">
          <w:rPr>
            <w:rStyle w:val="Hipervnculo"/>
            <w:rFonts w:ascii="Palatino Linotype" w:hAnsi="Palatino Linotype" w:cs="Arial"/>
            <w:color w:val="auto"/>
            <w:u w:val="none"/>
          </w:rPr>
          <w:t>servicios</w:t>
        </w:r>
      </w:hyperlink>
      <w:r w:rsidRPr="00D908FB">
        <w:rPr>
          <w:rFonts w:ascii="Palatino Linotype" w:hAnsi="Palatino Linotype" w:cs="Arial"/>
        </w:rPr>
        <w:t xml:space="preserve"> que éstos prestan al patrón, en el cual se asientan las percepciones brutas, deducciones y el neto a recibir de dichos trabajadores.</w:t>
      </w:r>
    </w:p>
    <w:p w:rsidR="00352C44" w:rsidRPr="00D908FB" w:rsidRDefault="00352C44" w:rsidP="00352C44">
      <w:pPr>
        <w:spacing w:before="240" w:after="240" w:line="360" w:lineRule="auto"/>
        <w:jc w:val="both"/>
        <w:rPr>
          <w:rFonts w:ascii="Palatino Linotype" w:hAnsi="Palatino Linotype" w:cs="Arial"/>
          <w:lang w:eastAsia="es-MX"/>
        </w:rPr>
      </w:pPr>
      <w:r w:rsidRPr="00D908FB">
        <w:rPr>
          <w:rFonts w:ascii="Palatino Linotype" w:hAnsi="Palatino Linotype"/>
        </w:rPr>
        <w:t xml:space="preserve">Con base a lo anterior, resulta aplicable los </w:t>
      </w:r>
      <w:r w:rsidRPr="00D908FB">
        <w:rPr>
          <w:rFonts w:ascii="Palatino Linotype" w:hAnsi="Palatino Linotype" w:cs="Arial"/>
          <w:lang w:eastAsia="es-MX"/>
        </w:rPr>
        <w:t>artículos 1, 2 y 220-K fracciones II y IV y último párrafo de la Ley del Trabajo de los Servidores Públicos del Estado y Municipios, que establecen lo siguiente:</w:t>
      </w:r>
    </w:p>
    <w:p w:rsidR="00352C44" w:rsidRPr="00D908FB" w:rsidRDefault="00352C44" w:rsidP="00352C44">
      <w:pPr>
        <w:ind w:left="1134" w:right="1134"/>
        <w:jc w:val="both"/>
        <w:rPr>
          <w:rFonts w:ascii="Palatino Linotype" w:hAnsi="Palatino Linotype" w:cs="Arial"/>
          <w:i/>
          <w:sz w:val="22"/>
          <w:szCs w:val="22"/>
          <w:lang w:eastAsia="es-MX"/>
        </w:rPr>
      </w:pPr>
      <w:r w:rsidRPr="00D908FB">
        <w:rPr>
          <w:rFonts w:ascii="Palatino Linotype" w:hAnsi="Palatino Linotype" w:cs="Arial"/>
          <w:b/>
          <w:i/>
          <w:sz w:val="22"/>
          <w:szCs w:val="22"/>
          <w:lang w:eastAsia="es-MX"/>
        </w:rPr>
        <w:t>ARTÍCULO 1.-</w:t>
      </w:r>
      <w:r w:rsidRPr="00D908FB">
        <w:rPr>
          <w:rFonts w:ascii="Palatino Linotype" w:hAnsi="Palatino Linotype" w:cs="Arial"/>
          <w:i/>
          <w:sz w:val="22"/>
          <w:szCs w:val="22"/>
          <w:lang w:eastAsia="es-MX"/>
        </w:rPr>
        <w:t xml:space="preserve"> Ésta ley es de orden público e interés social y tiene por objeto regular las relaciones de trabajo, comprendidas entre los poderes públicos del Estado y los Municipios y sus respectivos servidores públicos.</w:t>
      </w:r>
    </w:p>
    <w:p w:rsidR="00352C44" w:rsidRPr="00D908FB" w:rsidRDefault="00352C44" w:rsidP="00352C44">
      <w:pPr>
        <w:ind w:left="1134" w:right="1134"/>
        <w:jc w:val="both"/>
        <w:rPr>
          <w:rFonts w:ascii="Palatino Linotype" w:hAnsi="Palatino Linotype" w:cs="Arial"/>
          <w:i/>
          <w:sz w:val="22"/>
          <w:szCs w:val="22"/>
          <w:lang w:eastAsia="es-MX"/>
        </w:rPr>
      </w:pPr>
      <w:r w:rsidRPr="00D908FB">
        <w:rPr>
          <w:rFonts w:ascii="Palatino Linotype" w:hAnsi="Palatino Linotype" w:cs="Arial"/>
          <w:i/>
          <w:sz w:val="22"/>
          <w:szCs w:val="22"/>
          <w:lang w:eastAsia="es-MX"/>
        </w:rPr>
        <w:t xml:space="preserve">Igualmente, </w:t>
      </w:r>
      <w:r w:rsidRPr="00D908FB">
        <w:rPr>
          <w:rFonts w:ascii="Palatino Linotype" w:hAnsi="Palatino Linotype" w:cs="Arial"/>
          <w:b/>
          <w:i/>
          <w:sz w:val="22"/>
          <w:szCs w:val="22"/>
          <w:lang w:eastAsia="es-MX"/>
        </w:rPr>
        <w:t>se regulan por esta ley las relaciones de trabajo entre</w:t>
      </w:r>
      <w:r w:rsidRPr="00D908FB">
        <w:rPr>
          <w:rFonts w:ascii="Palatino Linotype" w:hAnsi="Palatino Linotype" w:cs="Arial"/>
          <w:i/>
          <w:sz w:val="22"/>
          <w:szCs w:val="22"/>
          <w:lang w:eastAsia="es-MX"/>
        </w:rPr>
        <w:t xml:space="preserve"> los tribunales administrativos, los organismos descentralizados, fideicomisos de carácter estatal y municipal y </w:t>
      </w:r>
      <w:r w:rsidRPr="00D908FB">
        <w:rPr>
          <w:rFonts w:ascii="Palatino Linotype" w:hAnsi="Palatino Linotype" w:cs="Arial"/>
          <w:b/>
          <w:i/>
          <w:sz w:val="22"/>
          <w:szCs w:val="22"/>
          <w:lang w:eastAsia="es-MX"/>
        </w:rPr>
        <w:t>los órganos autónomos que sus leyes de creación así lo determinen y sus servidores públicos.</w:t>
      </w:r>
    </w:p>
    <w:p w:rsidR="00352C44" w:rsidRPr="00D908FB" w:rsidRDefault="00352C44" w:rsidP="00352C44">
      <w:pPr>
        <w:ind w:left="1134" w:right="1134"/>
        <w:jc w:val="both"/>
        <w:rPr>
          <w:rFonts w:ascii="Palatino Linotype" w:hAnsi="Palatino Linotype" w:cs="Arial"/>
          <w:i/>
          <w:sz w:val="22"/>
          <w:szCs w:val="22"/>
          <w:lang w:eastAsia="es-MX"/>
        </w:rPr>
      </w:pPr>
      <w:r w:rsidRPr="00D908FB">
        <w:rPr>
          <w:rFonts w:ascii="Palatino Linotype" w:hAnsi="Palatino Linotype" w:cs="Arial"/>
          <w:i/>
          <w:sz w:val="22"/>
          <w:szCs w:val="22"/>
          <w:lang w:eastAsia="es-MX"/>
        </w:rPr>
        <w:t>El Estado o los municipios pueden asumir, mediante convenio de sustitución, la responsabilidad de las relaciones de trabajo, cuando se trate de organismos descentralizados, fideicomisos de carácter estatal y municipal, que tengan como objeto la prestación de servicios públicos, de fomento educativo, científico, médico, de vivienda, cultural o de asistencia social, se regularán conforme a esta ley, considerando las modalidades y términos específicos que se señalen en los convenios respectivos.</w:t>
      </w:r>
    </w:p>
    <w:p w:rsidR="00352C44" w:rsidRPr="00D908FB" w:rsidRDefault="00352C44" w:rsidP="00352C44">
      <w:pPr>
        <w:ind w:left="1134" w:right="1134"/>
        <w:jc w:val="both"/>
        <w:rPr>
          <w:rFonts w:ascii="Palatino Linotype" w:hAnsi="Palatino Linotype" w:cs="Arial"/>
          <w:i/>
          <w:sz w:val="22"/>
          <w:szCs w:val="22"/>
          <w:lang w:eastAsia="es-MX"/>
        </w:rPr>
      </w:pPr>
    </w:p>
    <w:p w:rsidR="00352C44" w:rsidRPr="00D908FB" w:rsidRDefault="00352C44" w:rsidP="00352C44">
      <w:pPr>
        <w:ind w:left="1134" w:right="1134"/>
        <w:jc w:val="both"/>
        <w:rPr>
          <w:rFonts w:ascii="Palatino Linotype" w:hAnsi="Palatino Linotype" w:cs="Arial"/>
          <w:i/>
          <w:sz w:val="22"/>
          <w:szCs w:val="22"/>
          <w:lang w:eastAsia="es-MX"/>
        </w:rPr>
      </w:pPr>
      <w:r w:rsidRPr="00D908FB">
        <w:rPr>
          <w:rFonts w:ascii="Palatino Linotype" w:hAnsi="Palatino Linotype" w:cs="Arial"/>
          <w:b/>
          <w:i/>
          <w:sz w:val="22"/>
          <w:szCs w:val="22"/>
          <w:lang w:eastAsia="es-MX"/>
        </w:rPr>
        <w:t>ARTÍCULO 2.</w:t>
      </w:r>
      <w:r w:rsidRPr="00D908FB">
        <w:rPr>
          <w:rFonts w:ascii="Palatino Linotype" w:hAnsi="Palatino Linotype" w:cs="Arial"/>
          <w:i/>
          <w:sz w:val="22"/>
          <w:szCs w:val="22"/>
          <w:lang w:eastAsia="es-MX"/>
        </w:rPr>
        <w:t xml:space="preserve"> Son sujetos de esta ley los servidores públicos y las instituciones públicas. </w:t>
      </w:r>
    </w:p>
    <w:p w:rsidR="00352C44" w:rsidRPr="00D908FB" w:rsidRDefault="00352C44" w:rsidP="00352C44">
      <w:pPr>
        <w:ind w:left="1134" w:right="1134"/>
        <w:jc w:val="both"/>
        <w:rPr>
          <w:rFonts w:ascii="Palatino Linotype" w:hAnsi="Palatino Linotype" w:cs="Arial"/>
          <w:i/>
          <w:sz w:val="22"/>
          <w:szCs w:val="22"/>
          <w:lang w:eastAsia="es-MX"/>
        </w:rPr>
      </w:pPr>
      <w:r w:rsidRPr="00D908FB">
        <w:rPr>
          <w:rFonts w:ascii="Palatino Linotype" w:hAnsi="Palatino Linotype" w:cs="Arial"/>
          <w:i/>
          <w:sz w:val="22"/>
          <w:szCs w:val="22"/>
          <w:lang w:eastAsia="es-MX"/>
        </w:rPr>
        <w:t>…</w:t>
      </w:r>
    </w:p>
    <w:p w:rsidR="00352C44" w:rsidRPr="00D908FB" w:rsidRDefault="00352C44" w:rsidP="00352C44">
      <w:pPr>
        <w:ind w:left="1134" w:right="1134"/>
        <w:jc w:val="both"/>
        <w:rPr>
          <w:rFonts w:ascii="Palatino Linotype" w:hAnsi="Palatino Linotype" w:cs="Arial"/>
          <w:i/>
          <w:sz w:val="22"/>
          <w:szCs w:val="22"/>
          <w:lang w:eastAsia="es-MX"/>
        </w:rPr>
      </w:pPr>
      <w:r w:rsidRPr="00D908FB">
        <w:rPr>
          <w:rFonts w:ascii="Palatino Linotype" w:hAnsi="Palatino Linotype" w:cs="Arial"/>
          <w:b/>
          <w:i/>
          <w:sz w:val="22"/>
          <w:szCs w:val="22"/>
          <w:lang w:eastAsia="es-MX"/>
        </w:rPr>
        <w:t>ARTÍCULO 220 K.-</w:t>
      </w:r>
      <w:r w:rsidRPr="00D908FB">
        <w:rPr>
          <w:rFonts w:ascii="Palatino Linotype" w:hAnsi="Palatino Linotype" w:cs="Arial"/>
          <w:i/>
          <w:sz w:val="22"/>
          <w:szCs w:val="22"/>
          <w:lang w:eastAsia="es-MX"/>
        </w:rPr>
        <w:t xml:space="preserve"> La institución o dependencia pública tiene la obligación de conservar y exhibir en el proceso los documentos que a continuación se precisan:</w:t>
      </w:r>
    </w:p>
    <w:p w:rsidR="00352C44" w:rsidRPr="00D908FB" w:rsidRDefault="00352C44" w:rsidP="00352C44">
      <w:pPr>
        <w:ind w:left="1134" w:right="1134"/>
        <w:jc w:val="both"/>
        <w:rPr>
          <w:rFonts w:ascii="Palatino Linotype" w:hAnsi="Palatino Linotype" w:cs="Arial"/>
          <w:i/>
          <w:sz w:val="22"/>
          <w:szCs w:val="22"/>
          <w:lang w:eastAsia="es-MX"/>
        </w:rPr>
      </w:pPr>
      <w:r w:rsidRPr="00D908FB">
        <w:rPr>
          <w:rFonts w:ascii="Palatino Linotype" w:hAnsi="Palatino Linotype" w:cs="Arial"/>
          <w:i/>
          <w:sz w:val="22"/>
          <w:szCs w:val="22"/>
          <w:lang w:eastAsia="es-MX"/>
        </w:rPr>
        <w:t>…</w:t>
      </w:r>
    </w:p>
    <w:p w:rsidR="00352C44" w:rsidRPr="00D908FB" w:rsidRDefault="00352C44" w:rsidP="00352C44">
      <w:pPr>
        <w:ind w:left="1134" w:right="1134"/>
        <w:jc w:val="both"/>
        <w:rPr>
          <w:rFonts w:ascii="Palatino Linotype" w:hAnsi="Palatino Linotype" w:cs="Arial"/>
          <w:b/>
          <w:i/>
          <w:sz w:val="22"/>
          <w:szCs w:val="22"/>
          <w:lang w:eastAsia="es-MX"/>
        </w:rPr>
      </w:pPr>
      <w:r w:rsidRPr="00D908FB">
        <w:rPr>
          <w:rFonts w:ascii="Palatino Linotype" w:hAnsi="Palatino Linotype" w:cs="Arial"/>
          <w:b/>
          <w:i/>
          <w:sz w:val="22"/>
          <w:szCs w:val="22"/>
          <w:lang w:eastAsia="es-MX"/>
        </w:rPr>
        <w:lastRenderedPageBreak/>
        <w:t>II. Recibos de pagos de salarios o las constancias documentales del pago de salario cuando sea por depósito o mediante información electrónica;</w:t>
      </w:r>
    </w:p>
    <w:p w:rsidR="00352C44" w:rsidRPr="00D908FB" w:rsidRDefault="00352C44" w:rsidP="00352C44">
      <w:pPr>
        <w:ind w:left="1134" w:right="1134"/>
        <w:jc w:val="both"/>
        <w:rPr>
          <w:rFonts w:ascii="Palatino Linotype" w:hAnsi="Palatino Linotype" w:cs="Arial"/>
          <w:i/>
          <w:sz w:val="22"/>
          <w:szCs w:val="22"/>
          <w:lang w:eastAsia="es-MX"/>
        </w:rPr>
      </w:pPr>
      <w:r w:rsidRPr="00D908FB">
        <w:rPr>
          <w:rFonts w:ascii="Palatino Linotype" w:hAnsi="Palatino Linotype" w:cs="Arial"/>
          <w:i/>
          <w:sz w:val="22"/>
          <w:szCs w:val="22"/>
          <w:lang w:eastAsia="es-MX"/>
        </w:rPr>
        <w:t>(…)</w:t>
      </w:r>
    </w:p>
    <w:p w:rsidR="00352C44" w:rsidRPr="00D908FB" w:rsidRDefault="00352C44" w:rsidP="00352C44">
      <w:pPr>
        <w:ind w:left="1134" w:right="1134"/>
        <w:jc w:val="both"/>
        <w:rPr>
          <w:rFonts w:ascii="Palatino Linotype" w:hAnsi="Palatino Linotype" w:cs="Arial"/>
          <w:b/>
          <w:i/>
          <w:sz w:val="22"/>
          <w:szCs w:val="22"/>
          <w:lang w:eastAsia="es-MX"/>
        </w:rPr>
      </w:pPr>
      <w:r w:rsidRPr="00D908FB">
        <w:rPr>
          <w:rFonts w:ascii="Palatino Linotype" w:hAnsi="Palatino Linotype" w:cs="Arial"/>
          <w:b/>
          <w:i/>
          <w:sz w:val="22"/>
          <w:szCs w:val="22"/>
          <w:lang w:eastAsia="es-MX"/>
        </w:rPr>
        <w:t>IV. Recibos o las constancias de depósito o del medio de información magnética o electrónica que sean utilizadas para el pago de salarios, prima vacacional, aguinaldo y demás prestaciones establecidas en la presente ley; y</w:t>
      </w:r>
    </w:p>
    <w:p w:rsidR="00352C44" w:rsidRPr="00D908FB" w:rsidRDefault="00352C44" w:rsidP="00352C44">
      <w:pPr>
        <w:ind w:left="1134" w:right="1134"/>
        <w:jc w:val="both"/>
        <w:rPr>
          <w:rFonts w:ascii="Palatino Linotype" w:hAnsi="Palatino Linotype" w:cs="Arial"/>
          <w:b/>
          <w:i/>
          <w:sz w:val="22"/>
          <w:szCs w:val="22"/>
          <w:lang w:eastAsia="es-MX"/>
        </w:rPr>
      </w:pPr>
      <w:r w:rsidRPr="00D908FB">
        <w:rPr>
          <w:rFonts w:ascii="Palatino Linotype" w:hAnsi="Palatino Linotype" w:cs="Arial"/>
          <w:b/>
          <w:i/>
          <w:sz w:val="22"/>
          <w:szCs w:val="22"/>
          <w:lang w:eastAsia="es-MX"/>
        </w:rPr>
        <w:t>Los documentos</w:t>
      </w:r>
      <w:r w:rsidRPr="00D908FB">
        <w:rPr>
          <w:rFonts w:ascii="Palatino Linotype" w:hAnsi="Palatino Linotype" w:cs="Arial"/>
          <w:i/>
          <w:sz w:val="22"/>
          <w:szCs w:val="22"/>
          <w:lang w:eastAsia="es-MX"/>
        </w:rPr>
        <w:t xml:space="preserve"> señalados en la fracción I de este artículo, </w:t>
      </w:r>
      <w:r w:rsidRPr="00D908FB">
        <w:rPr>
          <w:rFonts w:ascii="Palatino Linotype" w:hAnsi="Palatino Linotype" w:cs="Arial"/>
          <w:b/>
          <w:i/>
          <w:sz w:val="22"/>
          <w:szCs w:val="22"/>
          <w:lang w:eastAsia="es-MX"/>
        </w:rPr>
        <w:t>deberán conservarse</w:t>
      </w:r>
      <w:r w:rsidRPr="00D908FB">
        <w:rPr>
          <w:rFonts w:ascii="Palatino Linotype" w:hAnsi="Palatino Linotype" w:cs="Arial"/>
          <w:i/>
          <w:sz w:val="22"/>
          <w:szCs w:val="22"/>
          <w:lang w:eastAsia="es-MX"/>
        </w:rPr>
        <w:t xml:space="preserve"> mientras dure la relación laboral y hasta un año después; </w:t>
      </w:r>
      <w:r w:rsidRPr="00D908FB">
        <w:rPr>
          <w:rFonts w:ascii="Palatino Linotype" w:hAnsi="Palatino Linotype" w:cs="Arial"/>
          <w:b/>
          <w:i/>
          <w:sz w:val="22"/>
          <w:szCs w:val="22"/>
          <w:lang w:eastAsia="es-MX"/>
        </w:rPr>
        <w:t>los señalados por las fracciones II</w:t>
      </w:r>
      <w:r w:rsidRPr="00D908FB">
        <w:rPr>
          <w:rFonts w:ascii="Palatino Linotype" w:hAnsi="Palatino Linotype" w:cs="Arial"/>
          <w:i/>
          <w:sz w:val="22"/>
          <w:szCs w:val="22"/>
          <w:lang w:eastAsia="es-MX"/>
        </w:rPr>
        <w:t xml:space="preserve">, III, IV </w:t>
      </w:r>
      <w:r w:rsidRPr="00D908FB">
        <w:rPr>
          <w:rFonts w:ascii="Palatino Linotype" w:hAnsi="Palatino Linotype" w:cs="Arial"/>
          <w:b/>
          <w:i/>
          <w:sz w:val="22"/>
          <w:szCs w:val="22"/>
          <w:lang w:eastAsia="es-MX"/>
        </w:rPr>
        <w:t>durante el último año y un año después de que se extinga la relación laboral</w:t>
      </w:r>
      <w:r w:rsidRPr="00D908FB">
        <w:rPr>
          <w:rFonts w:ascii="Palatino Linotype" w:hAnsi="Palatino Linotype" w:cs="Arial"/>
          <w:i/>
          <w:sz w:val="22"/>
          <w:szCs w:val="22"/>
          <w:lang w:eastAsia="es-MX"/>
        </w:rPr>
        <w:t xml:space="preserve">, y </w:t>
      </w:r>
      <w:r w:rsidRPr="00D908FB">
        <w:rPr>
          <w:rFonts w:ascii="Palatino Linotype" w:hAnsi="Palatino Linotype" w:cs="Arial"/>
          <w:b/>
          <w:i/>
          <w:sz w:val="22"/>
          <w:szCs w:val="22"/>
          <w:lang w:eastAsia="es-MX"/>
        </w:rPr>
        <w:t>los mencionados en la fracción V, conforme lo señalen las leyes que los rijan.</w:t>
      </w:r>
    </w:p>
    <w:p w:rsidR="00352C44" w:rsidRPr="00D908FB" w:rsidRDefault="00352C44" w:rsidP="00352C44">
      <w:pPr>
        <w:ind w:left="1134" w:right="1134"/>
        <w:jc w:val="both"/>
        <w:rPr>
          <w:rFonts w:ascii="Palatino Linotype" w:hAnsi="Palatino Linotype" w:cs="Arial"/>
          <w:i/>
          <w:sz w:val="22"/>
          <w:szCs w:val="22"/>
          <w:lang w:eastAsia="es-MX"/>
        </w:rPr>
      </w:pPr>
      <w:r w:rsidRPr="00D908FB">
        <w:rPr>
          <w:rFonts w:ascii="Palatino Linotype" w:hAnsi="Palatino Linotype" w:cs="Arial"/>
          <w:i/>
          <w:sz w:val="22"/>
          <w:szCs w:val="22"/>
          <w:lang w:eastAsia="es-MX"/>
        </w:rPr>
        <w:t>Los documentos y constancias aquí señalados, la institución o dependencia podrá conservarlos por medio de los sistemas de digitalización o de información magnética o electrónica o cualquier medio descubierto por la ciencia y las constancias expedidas por el encargado del área de personal de éstas, harán prueba plena.</w:t>
      </w:r>
    </w:p>
    <w:p w:rsidR="00352C44" w:rsidRPr="00D908FB" w:rsidRDefault="00352C44" w:rsidP="00352C44">
      <w:pPr>
        <w:ind w:left="1134" w:right="1134"/>
        <w:jc w:val="both"/>
        <w:rPr>
          <w:rFonts w:ascii="Palatino Linotype" w:hAnsi="Palatino Linotype" w:cs="Arial"/>
          <w:i/>
          <w:sz w:val="22"/>
          <w:szCs w:val="22"/>
          <w:lang w:eastAsia="es-MX"/>
        </w:rPr>
      </w:pPr>
      <w:r w:rsidRPr="00D908FB">
        <w:rPr>
          <w:rFonts w:ascii="Palatino Linotype" w:hAnsi="Palatino Linotype" w:cs="Arial"/>
          <w:i/>
          <w:sz w:val="22"/>
          <w:szCs w:val="22"/>
          <w:lang w:eastAsia="es-MX"/>
        </w:rPr>
        <w:t>El incumplimiento por lo dispuesto por este artículo, establecerá la presunción de ser ciertos los hechos que el actor exprese en su demanda, en relación con tales documentos, salvo prueba en contrario.” (Sic)</w:t>
      </w:r>
    </w:p>
    <w:p w:rsidR="00352C44" w:rsidRPr="00D908FB" w:rsidRDefault="00352C44" w:rsidP="00352C44">
      <w:pPr>
        <w:ind w:left="1134" w:right="1134"/>
        <w:jc w:val="both"/>
        <w:rPr>
          <w:rFonts w:ascii="Palatino Linotype" w:hAnsi="Palatino Linotype" w:cs="Arial"/>
          <w:i/>
          <w:sz w:val="22"/>
          <w:szCs w:val="22"/>
          <w:lang w:eastAsia="es-MX"/>
        </w:rPr>
      </w:pPr>
      <w:r w:rsidRPr="00D908FB">
        <w:rPr>
          <w:rFonts w:ascii="Palatino Linotype" w:hAnsi="Palatino Linotype" w:cs="Arial"/>
          <w:i/>
          <w:sz w:val="22"/>
          <w:szCs w:val="22"/>
          <w:lang w:eastAsia="es-MX"/>
        </w:rPr>
        <w:t>(Énfasis añadido)</w:t>
      </w:r>
    </w:p>
    <w:p w:rsidR="00352C44" w:rsidRPr="00D908FB" w:rsidRDefault="00352C44" w:rsidP="00352C44">
      <w:pPr>
        <w:spacing w:before="240" w:after="240" w:line="360" w:lineRule="auto"/>
        <w:jc w:val="both"/>
        <w:rPr>
          <w:rFonts w:ascii="Palatino Linotype" w:hAnsi="Palatino Linotype" w:cs="Arial"/>
          <w:shd w:val="clear" w:color="auto" w:fill="FFFFFF"/>
        </w:rPr>
      </w:pPr>
      <w:r w:rsidRPr="00D908FB">
        <w:rPr>
          <w:rFonts w:ascii="Palatino Linotype" w:hAnsi="Palatino Linotype" w:cs="Arial"/>
          <w:lang w:eastAsia="es-MX"/>
        </w:rPr>
        <w:t xml:space="preserve">Lo anterior es así, ya que las relaciones de trabajo entre servidores públicos y las instituciones públicas o dependencias públicas del Estado de México, se deben regir por el ordenamiento legal antes citado, el cual mandata a las instituciones públicas, incluyendo los municipios, conservar los recibos o constancias de pago de salarios, prima vacacional, aguinaldo y demás prestaciones legales en que se haya realizado el pago, es decir, en efectivo, cheque, depósito, transferencia u otra, debiendo conservar dicha documentación durante el último año y un año después de que se extingue la relación laboral a través de los sistemas de digitalización o de información magnética o electrónica. Máxime que todos los servidores públicos tienen el derecho de recibir remuneraciones irrenunciables por el desempeño de un </w:t>
      </w:r>
      <w:r w:rsidRPr="00D908FB">
        <w:rPr>
          <w:rFonts w:ascii="Palatino Linotype" w:hAnsi="Palatino Linotype" w:cs="Arial"/>
          <w:lang w:eastAsia="es-MX"/>
        </w:rPr>
        <w:lastRenderedPageBreak/>
        <w:t>empleo, cargo o comisión, en función de las responsabilidades asumidas, las cuales abarcan el sueldo, compensaciones, gratificaciones, habitación, primas, comisiones, prestaciones en especie y cualquier otra percepción entregada con motivo del cargo desempeñado; remuneraciones que según el texto constitucional serán públicas.</w:t>
      </w:r>
      <w:r w:rsidRPr="00D908FB">
        <w:rPr>
          <w:rFonts w:ascii="Palatino Linotype" w:hAnsi="Palatino Linotype" w:cs="Arial"/>
          <w:shd w:val="clear" w:color="auto" w:fill="FFFFFF"/>
        </w:rPr>
        <w:t xml:space="preserve"> </w:t>
      </w:r>
    </w:p>
    <w:p w:rsidR="00352C44" w:rsidRPr="00D908FB" w:rsidRDefault="00352C44" w:rsidP="00352C44">
      <w:pPr>
        <w:tabs>
          <w:tab w:val="left" w:pos="851"/>
        </w:tabs>
        <w:spacing w:before="240" w:after="240" w:line="360" w:lineRule="auto"/>
        <w:jc w:val="both"/>
        <w:rPr>
          <w:rFonts w:ascii="Palatino Linotype" w:hAnsi="Palatino Linotype" w:cs="Arial"/>
          <w:shd w:val="clear" w:color="auto" w:fill="FFFFFF"/>
        </w:rPr>
      </w:pPr>
      <w:r w:rsidRPr="00D908FB">
        <w:rPr>
          <w:rFonts w:ascii="Palatino Linotype" w:hAnsi="Palatino Linotype" w:cs="Arial"/>
          <w:shd w:val="clear" w:color="auto" w:fill="FFFFFF"/>
        </w:rPr>
        <w:t xml:space="preserve">Sirve de apoyo a lo anterior por analogía, los criterios 01/2003 y 002/2003 emitidos por el Comité de Acceso a la Información y Protección de Datos Personales de la Suprema Corte de Justicia de la Nación que a continuación se citan: </w:t>
      </w:r>
    </w:p>
    <w:p w:rsidR="00352C44" w:rsidRPr="00D908FB" w:rsidRDefault="00352C44" w:rsidP="00352C44">
      <w:pPr>
        <w:tabs>
          <w:tab w:val="left" w:pos="851"/>
        </w:tabs>
        <w:ind w:left="644"/>
        <w:contextualSpacing/>
        <w:jc w:val="center"/>
        <w:rPr>
          <w:rFonts w:ascii="Palatino Linotype" w:hAnsi="Palatino Linotype" w:cs="Arial"/>
          <w:i/>
          <w:sz w:val="22"/>
          <w:szCs w:val="22"/>
          <w:shd w:val="clear" w:color="auto" w:fill="FFFFFF"/>
        </w:rPr>
      </w:pPr>
      <w:r w:rsidRPr="00D908FB">
        <w:rPr>
          <w:rFonts w:ascii="Palatino Linotype" w:hAnsi="Palatino Linotype" w:cs="Arial"/>
          <w:i/>
          <w:sz w:val="22"/>
          <w:szCs w:val="22"/>
          <w:shd w:val="clear" w:color="auto" w:fill="FFFFFF"/>
        </w:rPr>
        <w:t>Criterio 01/2003.</w:t>
      </w:r>
    </w:p>
    <w:p w:rsidR="00352C44" w:rsidRPr="00D908FB" w:rsidRDefault="00352C44" w:rsidP="00352C44">
      <w:pPr>
        <w:tabs>
          <w:tab w:val="left" w:pos="851"/>
        </w:tabs>
        <w:ind w:left="851" w:right="616"/>
        <w:contextualSpacing/>
        <w:jc w:val="both"/>
        <w:rPr>
          <w:rFonts w:ascii="Palatino Linotype" w:hAnsi="Palatino Linotype" w:cs="Arial"/>
          <w:i/>
          <w:sz w:val="22"/>
          <w:szCs w:val="22"/>
          <w:shd w:val="clear" w:color="auto" w:fill="FFFFFF"/>
        </w:rPr>
      </w:pPr>
      <w:r w:rsidRPr="00D908FB">
        <w:rPr>
          <w:rFonts w:ascii="Palatino Linotype" w:hAnsi="Palatino Linotype" w:cs="Arial"/>
          <w:b/>
          <w:i/>
          <w:sz w:val="22"/>
          <w:szCs w:val="22"/>
          <w:shd w:val="clear" w:color="auto" w:fill="FFFFFF"/>
        </w:rPr>
        <w:t>“INGRESOS DE LOS SERVIDORES PÚBLICOS. CONSTITUYEN INFORMACIÓN PÚBLICA AÚN CUANDO SU DIFUSIÓN PUEDE AFECTAR LA VIDA O LA SEGURIDAD DE AQUELLOS</w:t>
      </w:r>
      <w:r w:rsidRPr="00D908FB">
        <w:rPr>
          <w:rFonts w:ascii="Palatino Linotype" w:hAnsi="Palatino Linotype" w:cs="Arial"/>
          <w:i/>
          <w:sz w:val="22"/>
          <w:szCs w:val="22"/>
          <w:shd w:val="clear" w:color="auto" w:fill="FFFFFF"/>
        </w:rPr>
        <w:t>. Si bien el artículo 13, fracción IV, de la Ley Federal de Transparencia y  Acceso  a la información Pública Gubernamental establece que debe clasificarse como información confidencial la que conste en expedientes administrativos cuya difusión  pueda poner en riesgo la vida, la seguridad o la salud de cualquier persona, debe reconocerse que aun y  cuando en ese supuesto podría encuadrar la relativa a las percepciones ordinarias y extraordinaria de los servidores públicos, ello no obsta para reconocer que el legislador estableció en el artículo 7 de ese mismo ordenamiento que la referida información, como una obligación de trasparencia, deben publicarse en medios remotos o locales de comunicación electrónica, lo que se sustenta en el hecho de que el monto de todos los ingresos que recibe un servidor público por desarrollar las labores que les son encomendadas con motivo del desempeño del cargo respecto. Constituyen información pública, en tanto que se trata de erogaciones que realiza un órgano del Estado en base con los recursos que encuentran su origen en mayor medida en las contribuciones aportados por los gobernados.</w:t>
      </w:r>
    </w:p>
    <w:p w:rsidR="00352C44" w:rsidRPr="00D908FB" w:rsidRDefault="00352C44" w:rsidP="00352C44">
      <w:pPr>
        <w:tabs>
          <w:tab w:val="left" w:pos="851"/>
        </w:tabs>
        <w:ind w:left="851" w:right="616"/>
        <w:contextualSpacing/>
        <w:jc w:val="both"/>
        <w:rPr>
          <w:rFonts w:ascii="Palatino Linotype" w:hAnsi="Palatino Linotype" w:cs="Arial"/>
          <w:i/>
          <w:sz w:val="22"/>
          <w:szCs w:val="22"/>
          <w:shd w:val="clear" w:color="auto" w:fill="FFFFFF"/>
        </w:rPr>
      </w:pPr>
      <w:r w:rsidRPr="00D908FB">
        <w:rPr>
          <w:rFonts w:ascii="Palatino Linotype" w:hAnsi="Palatino Linotype" w:cs="Arial"/>
          <w:i/>
          <w:sz w:val="22"/>
          <w:szCs w:val="22"/>
          <w:shd w:val="clear" w:color="auto" w:fill="FFFFFF"/>
        </w:rPr>
        <w:t>Clasificación de información 2/2003-A, derivada de la solicitud presentada por Laura Carrillo Anaya.- 24 de septiembre de 2003, Unanimidad de votos…”</w:t>
      </w:r>
    </w:p>
    <w:p w:rsidR="00352C44" w:rsidRPr="00D908FB" w:rsidRDefault="00352C44" w:rsidP="00352C44">
      <w:pPr>
        <w:tabs>
          <w:tab w:val="left" w:pos="851"/>
        </w:tabs>
        <w:ind w:left="644" w:right="616"/>
        <w:contextualSpacing/>
        <w:jc w:val="center"/>
        <w:rPr>
          <w:rFonts w:ascii="Palatino Linotype" w:hAnsi="Palatino Linotype" w:cs="Arial"/>
          <w:i/>
          <w:sz w:val="22"/>
          <w:szCs w:val="22"/>
          <w:shd w:val="clear" w:color="auto" w:fill="FFFFFF"/>
        </w:rPr>
      </w:pPr>
      <w:r w:rsidRPr="00D908FB">
        <w:rPr>
          <w:rFonts w:ascii="Palatino Linotype" w:hAnsi="Palatino Linotype" w:cs="Arial"/>
          <w:i/>
          <w:sz w:val="22"/>
          <w:szCs w:val="22"/>
          <w:shd w:val="clear" w:color="auto" w:fill="FFFFFF"/>
        </w:rPr>
        <w:t>Criterio 02/2003.</w:t>
      </w:r>
    </w:p>
    <w:p w:rsidR="00352C44" w:rsidRPr="00D908FB" w:rsidRDefault="00352C44" w:rsidP="00352C44">
      <w:pPr>
        <w:tabs>
          <w:tab w:val="left" w:pos="851"/>
        </w:tabs>
        <w:ind w:left="644" w:right="616"/>
        <w:contextualSpacing/>
        <w:jc w:val="center"/>
        <w:rPr>
          <w:rFonts w:ascii="Palatino Linotype" w:hAnsi="Palatino Linotype" w:cs="Arial"/>
          <w:i/>
          <w:sz w:val="22"/>
          <w:szCs w:val="22"/>
          <w:shd w:val="clear" w:color="auto" w:fill="FFFFFF"/>
        </w:rPr>
      </w:pPr>
    </w:p>
    <w:p w:rsidR="00352C44" w:rsidRPr="00D908FB" w:rsidRDefault="00352C44" w:rsidP="00352C44">
      <w:pPr>
        <w:tabs>
          <w:tab w:val="left" w:pos="851"/>
        </w:tabs>
        <w:ind w:left="851" w:right="616"/>
        <w:contextualSpacing/>
        <w:jc w:val="both"/>
        <w:rPr>
          <w:rFonts w:ascii="Palatino Linotype" w:hAnsi="Palatino Linotype" w:cs="Arial"/>
          <w:i/>
          <w:sz w:val="22"/>
          <w:szCs w:val="22"/>
          <w:shd w:val="clear" w:color="auto" w:fill="FFFFFF"/>
        </w:rPr>
      </w:pPr>
      <w:r w:rsidRPr="00D908FB">
        <w:rPr>
          <w:rFonts w:ascii="Palatino Linotype" w:hAnsi="Palatino Linotype" w:cs="Arial"/>
          <w:b/>
          <w:i/>
          <w:sz w:val="22"/>
          <w:szCs w:val="22"/>
          <w:shd w:val="clear" w:color="auto" w:fill="FFFFFF"/>
        </w:rPr>
        <w:t xml:space="preserve">“INGRESOS DE LOS SERVIDORES PÚBLICOS, SON INFORMACIÓN PÚBLICA AÚN CUANDO CONSTITUYEN DATOS PERSONALES QUE SE REFIEREN AL </w:t>
      </w:r>
      <w:r w:rsidR="00743224" w:rsidRPr="00D908FB">
        <w:rPr>
          <w:rFonts w:ascii="Palatino Linotype" w:hAnsi="Palatino Linotype" w:cs="Arial"/>
          <w:b/>
          <w:i/>
          <w:sz w:val="22"/>
          <w:szCs w:val="22"/>
          <w:shd w:val="clear" w:color="auto" w:fill="FFFFFF"/>
        </w:rPr>
        <w:t>PATRIMONIO DE</w:t>
      </w:r>
      <w:r w:rsidRPr="00D908FB">
        <w:rPr>
          <w:rFonts w:ascii="Palatino Linotype" w:hAnsi="Palatino Linotype" w:cs="Arial"/>
          <w:b/>
          <w:i/>
          <w:sz w:val="22"/>
          <w:szCs w:val="22"/>
          <w:shd w:val="clear" w:color="auto" w:fill="FFFFFF"/>
        </w:rPr>
        <w:t xml:space="preserve"> AQUÉLLOS.</w:t>
      </w:r>
      <w:r w:rsidRPr="00D908FB">
        <w:rPr>
          <w:rFonts w:ascii="Palatino Linotype" w:hAnsi="Palatino Linotype" w:cs="Arial"/>
          <w:i/>
          <w:sz w:val="22"/>
          <w:szCs w:val="22"/>
          <w:shd w:val="clear" w:color="auto" w:fill="FFFFFF"/>
        </w:rPr>
        <w:t xml:space="preserve"> De la interpretación sistemática de lo previsto en los artículos 3º, fracción II; 7º, 9º y 18, fracción II, de la Ley Federal de Transparencia y Acceso a la Información Pública Gubernamental se </w:t>
      </w:r>
      <w:r w:rsidRPr="00D908FB">
        <w:rPr>
          <w:rFonts w:ascii="Palatino Linotype" w:hAnsi="Palatino Linotype" w:cs="Arial"/>
          <w:i/>
          <w:sz w:val="22"/>
          <w:szCs w:val="22"/>
          <w:shd w:val="clear" w:color="auto" w:fill="FFFFFF"/>
        </w:rPr>
        <w:lastRenderedPageBreak/>
        <w:t>advierte que no constituye información confidencial la relativa a los ingresos que reciben los servidores públicos, ya que aun y cuando se trata de datos personales relativos a su patrimonio , para su difusión no se requiere consentimiento de aquellos, lo que deriva del hecho de que en términos de los previsto en el citado ordenamiento deben ponerse a disposición del público a través de medios remotos o locales de comunicación electrónica, tanto el directorio de servidores públicos como las remuneraciones mensuales por puesto incluso el sistema de compensación…”</w:t>
      </w:r>
    </w:p>
    <w:p w:rsidR="00352C44" w:rsidRPr="00D908FB" w:rsidRDefault="00352C44" w:rsidP="00352C44">
      <w:pPr>
        <w:tabs>
          <w:tab w:val="left" w:pos="851"/>
        </w:tabs>
        <w:ind w:left="851" w:right="616"/>
        <w:contextualSpacing/>
        <w:jc w:val="both"/>
        <w:rPr>
          <w:rFonts w:ascii="Palatino Linotype" w:hAnsi="Palatino Linotype" w:cs="Arial"/>
          <w:i/>
          <w:sz w:val="22"/>
          <w:szCs w:val="22"/>
          <w:shd w:val="clear" w:color="auto" w:fill="FFFFFF"/>
        </w:rPr>
      </w:pPr>
    </w:p>
    <w:p w:rsidR="00352C44" w:rsidRPr="00D908FB" w:rsidRDefault="00352C44" w:rsidP="00352C44">
      <w:pPr>
        <w:tabs>
          <w:tab w:val="left" w:pos="851"/>
        </w:tabs>
        <w:ind w:left="851" w:right="616"/>
        <w:contextualSpacing/>
        <w:jc w:val="both"/>
        <w:rPr>
          <w:rFonts w:ascii="Palatino Linotype" w:hAnsi="Palatino Linotype" w:cs="Arial"/>
          <w:i/>
          <w:sz w:val="22"/>
          <w:szCs w:val="22"/>
          <w:shd w:val="clear" w:color="auto" w:fill="FFFFFF"/>
        </w:rPr>
      </w:pPr>
      <w:r w:rsidRPr="00D908FB">
        <w:rPr>
          <w:rFonts w:ascii="Palatino Linotype" w:hAnsi="Palatino Linotype" w:cs="Arial"/>
          <w:i/>
          <w:sz w:val="22"/>
          <w:szCs w:val="22"/>
          <w:shd w:val="clear" w:color="auto" w:fill="FFFFFF"/>
        </w:rPr>
        <w:t>Clasificación de información 2/2003-A, derivada de la solicitud presentada por Laura Carrillo Anaya.- 24 de septiembre de 2003, Unanimidad de votos.”</w:t>
      </w:r>
    </w:p>
    <w:p w:rsidR="00352C44" w:rsidRPr="00D908FB" w:rsidRDefault="00352C44" w:rsidP="00352C44">
      <w:pPr>
        <w:tabs>
          <w:tab w:val="left" w:pos="851"/>
        </w:tabs>
        <w:spacing w:before="120" w:after="120"/>
        <w:jc w:val="both"/>
        <w:rPr>
          <w:rFonts w:ascii="Palatino Linotype" w:hAnsi="Palatino Linotype" w:cs="Arial"/>
          <w:sz w:val="22"/>
          <w:szCs w:val="22"/>
          <w:shd w:val="clear" w:color="auto" w:fill="FFFFFF"/>
        </w:rPr>
      </w:pPr>
    </w:p>
    <w:p w:rsidR="00352C44" w:rsidRPr="00D908FB" w:rsidRDefault="00352C44" w:rsidP="00125A39">
      <w:pPr>
        <w:tabs>
          <w:tab w:val="left" w:pos="851"/>
        </w:tabs>
        <w:spacing w:line="360" w:lineRule="auto"/>
        <w:jc w:val="both"/>
        <w:rPr>
          <w:rFonts w:ascii="Palatino Linotype" w:hAnsi="Palatino Linotype"/>
        </w:rPr>
      </w:pPr>
      <w:r w:rsidRPr="00D908FB">
        <w:rPr>
          <w:rFonts w:ascii="Palatino Linotype" w:hAnsi="Palatino Linotype" w:cs="Arial"/>
        </w:rPr>
        <w:t xml:space="preserve">Ahora bien </w:t>
      </w:r>
      <w:r w:rsidRPr="00762916">
        <w:rPr>
          <w:rFonts w:ascii="Palatino Linotype" w:hAnsi="Palatino Linotype" w:cs="Arial"/>
          <w:sz w:val="23"/>
          <w:szCs w:val="23"/>
        </w:rPr>
        <w:t>es conveniente precisar que la obligación del Sujeto obligado para generar, administrar y poseer la información detallada se encuentra prevista en los Lineamientos para la integrac</w:t>
      </w:r>
      <w:r w:rsidR="00125A39">
        <w:rPr>
          <w:rFonts w:ascii="Palatino Linotype" w:hAnsi="Palatino Linotype" w:cs="Arial"/>
          <w:sz w:val="23"/>
          <w:szCs w:val="23"/>
        </w:rPr>
        <w:t>ión del Informe Mensual del 2018</w:t>
      </w:r>
      <w:r w:rsidRPr="00762916">
        <w:rPr>
          <w:rFonts w:ascii="Palatino Linotype" w:hAnsi="Palatino Linotype" w:cs="Arial"/>
          <w:sz w:val="23"/>
          <w:szCs w:val="23"/>
        </w:rPr>
        <w:t xml:space="preserve"> emitidos por el Órgano Superior de Fiscalización del Estado de México, (los cuales </w:t>
      </w:r>
      <w:r w:rsidRPr="00762916">
        <w:rPr>
          <w:rFonts w:ascii="Palatino Linotype" w:hAnsi="Palatino Linotype"/>
          <w:sz w:val="23"/>
          <w:szCs w:val="23"/>
          <w:lang w:val="es-MX"/>
        </w:rPr>
        <w:t xml:space="preserve">definen los criterios, formatos, documentación necesaria para presentar los informes mensuales por parte de los Sujetos Obligados; homologar la información y </w:t>
      </w:r>
      <w:proofErr w:type="spellStart"/>
      <w:r w:rsidRPr="00762916">
        <w:rPr>
          <w:rFonts w:ascii="Palatino Linotype" w:hAnsi="Palatino Linotype"/>
          <w:sz w:val="23"/>
          <w:szCs w:val="23"/>
          <w:lang w:val="es-MX"/>
        </w:rPr>
        <w:t>eficientar</w:t>
      </w:r>
      <w:proofErr w:type="spellEnd"/>
      <w:r w:rsidRPr="00762916">
        <w:rPr>
          <w:rFonts w:ascii="Palatino Linotype" w:hAnsi="Palatino Linotype"/>
          <w:sz w:val="23"/>
          <w:szCs w:val="23"/>
          <w:lang w:val="es-MX"/>
        </w:rPr>
        <w:t xml:space="preserve"> la  fiscalización; su contenido se divide en: presentación, objetivo, marco legal de actuación, disposiciones generales, disposiciones específicas, procedimiento para la fiscalización del informe mensual, así como el proceso de integración del informe mensual que debe presentar todo Sujeto Obligado; en este último, se detalla la información para la integración de 6 discos que se deberá entregar mensualmente al OSFEM dentro de los 20 días hábiles siguientes terminado el mes), mismos que</w:t>
      </w:r>
      <w:r w:rsidRPr="00762916">
        <w:rPr>
          <w:rFonts w:ascii="Palatino Linotype" w:hAnsi="Palatino Linotype" w:cs="Arial"/>
          <w:sz w:val="23"/>
          <w:szCs w:val="23"/>
        </w:rPr>
        <w:t xml:space="preserve"> están constreñidos a observar el Sujeto Obligado en el presente asunto, ello de conformidad los artículos 349 y 350 del Código Financiero del Estado de México</w:t>
      </w:r>
      <w:r w:rsidRPr="00762916">
        <w:rPr>
          <w:rStyle w:val="Refdenotaalpie"/>
          <w:rFonts w:ascii="Palatino Linotype" w:hAnsi="Palatino Linotype" w:cs="Arial"/>
          <w:sz w:val="23"/>
          <w:szCs w:val="23"/>
        </w:rPr>
        <w:footnoteReference w:id="1"/>
      </w:r>
      <w:r w:rsidRPr="00762916">
        <w:rPr>
          <w:rFonts w:ascii="Palatino Linotype" w:hAnsi="Palatino Linotype" w:cs="Arial"/>
          <w:sz w:val="23"/>
          <w:szCs w:val="23"/>
        </w:rPr>
        <w:t>, las Tesorerías de los Municipios dentro de la información que deben rendir de man</w:t>
      </w:r>
      <w:r w:rsidR="00125A39">
        <w:rPr>
          <w:rFonts w:ascii="Palatino Linotype" w:hAnsi="Palatino Linotype" w:cs="Arial"/>
          <w:sz w:val="23"/>
          <w:szCs w:val="23"/>
        </w:rPr>
        <w:t>era mensual al referido Órgano.</w:t>
      </w:r>
    </w:p>
    <w:p w:rsidR="00352C44" w:rsidRPr="00D908FB" w:rsidRDefault="00352C44" w:rsidP="00352C44">
      <w:pPr>
        <w:autoSpaceDE w:val="0"/>
        <w:autoSpaceDN w:val="0"/>
        <w:adjustRightInd w:val="0"/>
        <w:spacing w:line="360" w:lineRule="auto"/>
        <w:ind w:right="49"/>
        <w:jc w:val="both"/>
        <w:rPr>
          <w:rFonts w:ascii="Palatino Linotype" w:eastAsia="Arial Unicode MS" w:hAnsi="Palatino Linotype" w:cs="Arial"/>
        </w:rPr>
      </w:pPr>
      <w:r w:rsidRPr="00D908FB">
        <w:rPr>
          <w:rFonts w:ascii="Palatino Linotype" w:eastAsia="Arial Unicode MS" w:hAnsi="Palatino Linotype" w:cs="Arial"/>
        </w:rPr>
        <w:lastRenderedPageBreak/>
        <w:t>Lo anterior, permite concluir que quien formula los informes mensuales que los ayuntamientos envían al Órgano Superior de Fiscalización del sujeto obligado, son los tesoreros municipales, mismo que es entregado dentro de los primeros veinte días posteriores al mes correspondientes, a través de seis discos que contiene la siguiente información: disco 1; información patrimonial-, disco 2: información presupuestal; 3: información de obra pública; 4: información de nómina; 5: imágenes digitalizadas; 6: informa</w:t>
      </w:r>
      <w:r w:rsidR="00125A39">
        <w:rPr>
          <w:rFonts w:ascii="Palatino Linotype" w:eastAsia="Arial Unicode MS" w:hAnsi="Palatino Linotype" w:cs="Arial"/>
        </w:rPr>
        <w:t xml:space="preserve">ción de evaluación programática; </w:t>
      </w:r>
      <w:r w:rsidR="00125A39" w:rsidRPr="00125A39">
        <w:rPr>
          <w:rFonts w:ascii="Palatino Linotype" w:eastAsia="Arial Unicode MS" w:hAnsi="Palatino Linotype" w:cs="Arial"/>
        </w:rPr>
        <w:t>Disco 7.- P</w:t>
      </w:r>
      <w:r w:rsidR="00125A39">
        <w:rPr>
          <w:rFonts w:ascii="Palatino Linotype" w:eastAsia="Arial Unicode MS" w:hAnsi="Palatino Linotype" w:cs="Arial"/>
        </w:rPr>
        <w:t xml:space="preserve">rograma anual de Adquisiciones y </w:t>
      </w:r>
      <w:r w:rsidR="00125A39" w:rsidRPr="00125A39">
        <w:rPr>
          <w:rFonts w:ascii="Palatino Linotype" w:eastAsia="Arial Unicode MS" w:hAnsi="Palatino Linotype" w:cs="Arial"/>
        </w:rPr>
        <w:t>Disco 8.- Programa anual de Obra Pública.</w:t>
      </w:r>
    </w:p>
    <w:p w:rsidR="00352C44" w:rsidRPr="00D908FB" w:rsidRDefault="00352C44" w:rsidP="00352C44">
      <w:pPr>
        <w:autoSpaceDE w:val="0"/>
        <w:autoSpaceDN w:val="0"/>
        <w:adjustRightInd w:val="0"/>
        <w:spacing w:line="360" w:lineRule="auto"/>
        <w:ind w:right="49"/>
        <w:jc w:val="both"/>
        <w:rPr>
          <w:rFonts w:ascii="Palatino Linotype" w:eastAsia="Arial Unicode MS" w:hAnsi="Palatino Linotype" w:cs="Arial"/>
        </w:rPr>
      </w:pPr>
      <w:r w:rsidRPr="00D908FB">
        <w:rPr>
          <w:rFonts w:ascii="Palatino Linotype" w:eastAsia="Arial Unicode MS" w:hAnsi="Palatino Linotype" w:cs="Arial"/>
        </w:rPr>
        <w:t>Por otra parte y respecto al tema que interesa, resulta conveniente señalar el contenido del disco 4:</w:t>
      </w:r>
    </w:p>
    <w:p w:rsidR="00352C44" w:rsidRPr="00D908FB" w:rsidRDefault="00352C44" w:rsidP="00352C44">
      <w:pPr>
        <w:autoSpaceDE w:val="0"/>
        <w:autoSpaceDN w:val="0"/>
        <w:adjustRightInd w:val="0"/>
        <w:spacing w:line="360" w:lineRule="auto"/>
        <w:ind w:right="49"/>
        <w:jc w:val="center"/>
        <w:rPr>
          <w:rFonts w:ascii="Palatino Linotype" w:eastAsia="Arial Unicode MS" w:hAnsi="Palatino Linotype" w:cs="Arial"/>
        </w:rPr>
      </w:pPr>
      <w:r w:rsidRPr="00D908FB">
        <w:rPr>
          <w:rFonts w:ascii="Palatino Linotype" w:hAnsi="Palatino Linotype"/>
          <w:noProof/>
          <w:lang w:val="es-MX" w:eastAsia="es-MX"/>
        </w:rPr>
        <mc:AlternateContent>
          <mc:Choice Requires="wps">
            <w:drawing>
              <wp:anchor distT="0" distB="0" distL="114300" distR="114300" simplePos="0" relativeHeight="251660288" behindDoc="0" locked="0" layoutInCell="1" allowOverlap="1" wp14:anchorId="40C773A4" wp14:editId="3EAC3996">
                <wp:simplePos x="0" y="0"/>
                <wp:positionH relativeFrom="margin">
                  <wp:posOffset>82982</wp:posOffset>
                </wp:positionH>
                <wp:positionV relativeFrom="paragraph">
                  <wp:posOffset>748843</wp:posOffset>
                </wp:positionV>
                <wp:extent cx="5420563" cy="1975104"/>
                <wp:effectExtent l="19050" t="19050" r="27940" b="25400"/>
                <wp:wrapNone/>
                <wp:docPr id="5" name="Rectángulo 5"/>
                <wp:cNvGraphicFramePr/>
                <a:graphic xmlns:a="http://schemas.openxmlformats.org/drawingml/2006/main">
                  <a:graphicData uri="http://schemas.microsoft.com/office/word/2010/wordprocessingShape">
                    <wps:wsp>
                      <wps:cNvSpPr/>
                      <wps:spPr>
                        <a:xfrm>
                          <a:off x="0" y="0"/>
                          <a:ext cx="5420563" cy="1975104"/>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47944E" id="Rectángulo 5" o:spid="_x0000_s1026" style="position:absolute;margin-left:6.55pt;margin-top:58.95pt;width:426.8pt;height:155.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" filled="f" strokecolor="red" strokeweight="3pt">
                <w10:wrap anchorx="margin"/>
              </v:rect>
            </w:pict>
          </mc:Fallback>
        </mc:AlternateContent>
      </w:r>
      <w:r w:rsidR="00271FC5" w:rsidRPr="00271FC5">
        <w:rPr>
          <w:noProof/>
          <w:lang w:val="es-MX" w:eastAsia="es-MX"/>
        </w:rPr>
        <w:t xml:space="preserve"> </w:t>
      </w:r>
      <w:r w:rsidR="00271FC5">
        <w:rPr>
          <w:noProof/>
          <w:lang w:val="es-MX" w:eastAsia="es-MX"/>
        </w:rPr>
        <w:drawing>
          <wp:inline distT="0" distB="0" distL="0" distR="0" wp14:anchorId="4710FA64" wp14:editId="38E25CBC">
            <wp:extent cx="5498465" cy="2816352"/>
            <wp:effectExtent l="0" t="0" r="6985" b="317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4770" t="18775" r="25571" b="33698"/>
                    <a:stretch/>
                  </pic:blipFill>
                  <pic:spPr bwMode="auto">
                    <a:xfrm>
                      <a:off x="0" y="0"/>
                      <a:ext cx="5553209" cy="2844392"/>
                    </a:xfrm>
                    <a:prstGeom prst="rect">
                      <a:avLst/>
                    </a:prstGeom>
                    <a:ln>
                      <a:noFill/>
                    </a:ln>
                    <a:extLst>
                      <a:ext uri="{53640926-AAD7-44D8-BBD7-CCE9431645EC}">
                        <a14:shadowObscured xmlns:a14="http://schemas.microsoft.com/office/drawing/2010/main"/>
                      </a:ext>
                    </a:extLst>
                  </pic:spPr>
                </pic:pic>
              </a:graphicData>
            </a:graphic>
          </wp:inline>
        </w:drawing>
      </w:r>
    </w:p>
    <w:p w:rsidR="00352C44" w:rsidRPr="00D908FB" w:rsidRDefault="00352C44" w:rsidP="00352C44">
      <w:pPr>
        <w:spacing w:before="240" w:after="240" w:line="360" w:lineRule="auto"/>
        <w:jc w:val="both"/>
        <w:rPr>
          <w:rFonts w:ascii="Palatino Linotype" w:eastAsia="MS Mincho" w:hAnsi="Palatino Linotype" w:cs="Tahoma"/>
          <w:lang w:val="es-ES_tradnl"/>
        </w:rPr>
      </w:pPr>
      <w:r w:rsidRPr="00D908FB">
        <w:rPr>
          <w:rFonts w:ascii="Palatino Linotype" w:eastAsia="MS Mincho" w:hAnsi="Palatino Linotype" w:cs="Tahoma"/>
          <w:lang w:val="es-ES_tradnl"/>
        </w:rPr>
        <w:lastRenderedPageBreak/>
        <w:t xml:space="preserve">Así, las cosas </w:t>
      </w:r>
      <w:proofErr w:type="gramStart"/>
      <w:r w:rsidRPr="00D908FB">
        <w:rPr>
          <w:rFonts w:ascii="Palatino Linotype" w:eastAsia="MS Mincho" w:hAnsi="Palatino Linotype" w:cs="Tahoma"/>
          <w:lang w:val="es-ES_tradnl"/>
        </w:rPr>
        <w:t>debe</w:t>
      </w:r>
      <w:proofErr w:type="gramEnd"/>
      <w:r w:rsidRPr="00D908FB">
        <w:rPr>
          <w:rFonts w:ascii="Palatino Linotype" w:eastAsia="MS Mincho" w:hAnsi="Palatino Linotype" w:cs="Tahoma"/>
          <w:lang w:val="es-ES_tradnl"/>
        </w:rPr>
        <w:t xml:space="preserve"> mencionarse que los Lineamientos en comento sirven para definir los criterios, formatos y documentación necesaria para presentar los informes mensuales. Entre los criterios que se manejan en tales Lineamientos esta aquel que se refiere a la integración de </w:t>
      </w:r>
      <w:r w:rsidRPr="00D908FB">
        <w:rPr>
          <w:rFonts w:ascii="Palatino Linotype" w:eastAsia="MS Mincho" w:hAnsi="Palatino Linotype" w:cs="Tahoma"/>
          <w:b/>
          <w:i/>
          <w:lang w:val="es-ES_tradnl"/>
        </w:rPr>
        <w:t>información de nómina</w:t>
      </w:r>
      <w:r w:rsidRPr="00D908FB">
        <w:rPr>
          <w:rFonts w:ascii="Palatino Linotype" w:eastAsia="MS Mincho" w:hAnsi="Palatino Linotype" w:cs="Tahoma"/>
          <w:lang w:val="es-ES_tradnl"/>
        </w:rPr>
        <w:t>, el cual, se integra por documentos tales como 4.</w:t>
      </w:r>
      <w:r w:rsidRPr="00D908FB">
        <w:rPr>
          <w:rFonts w:ascii="Palatino Linotype" w:eastAsia="MS Mincho" w:hAnsi="Palatino Linotype" w:cs="Tahoma"/>
          <w:b/>
          <w:lang w:val="es-ES_tradnl"/>
        </w:rPr>
        <w:t xml:space="preserve">1 </w:t>
      </w:r>
      <w:r w:rsidRPr="00D908FB">
        <w:rPr>
          <w:rFonts w:ascii="Palatino Linotype" w:eastAsia="MS Mincho" w:hAnsi="Palatino Linotype" w:cs="Tahoma"/>
          <w:b/>
          <w:u w:val="single"/>
          <w:lang w:val="es-ES_tradnl"/>
        </w:rPr>
        <w:t xml:space="preserve">Nómina General del 01 al 15 del mes (Formato </w:t>
      </w:r>
      <w:proofErr w:type="spellStart"/>
      <w:r w:rsidRPr="00D908FB">
        <w:rPr>
          <w:rFonts w:ascii="Palatino Linotype" w:eastAsia="MS Mincho" w:hAnsi="Palatino Linotype" w:cs="Tahoma"/>
          <w:b/>
          <w:u w:val="single"/>
          <w:lang w:val="es-ES_tradnl"/>
        </w:rPr>
        <w:t>xls</w:t>
      </w:r>
      <w:proofErr w:type="spellEnd"/>
      <w:r w:rsidRPr="00D908FB">
        <w:rPr>
          <w:rFonts w:ascii="Palatino Linotype" w:eastAsia="MS Mincho" w:hAnsi="Palatino Linotype" w:cs="Tahoma"/>
          <w:b/>
          <w:u w:val="single"/>
          <w:lang w:val="es-ES_tradnl"/>
        </w:rPr>
        <w:t xml:space="preserve">), </w:t>
      </w:r>
      <w:r w:rsidRPr="004F790F">
        <w:rPr>
          <w:rFonts w:ascii="Palatino Linotype" w:eastAsia="MS Mincho" w:hAnsi="Palatino Linotype" w:cs="Tahoma"/>
          <w:b/>
          <w:u w:val="single"/>
          <w:lang w:val="es-ES_tradnl"/>
        </w:rPr>
        <w:t xml:space="preserve">Nómina General del 16 al 30/31 del mes (Formato </w:t>
      </w:r>
      <w:proofErr w:type="spellStart"/>
      <w:r w:rsidRPr="004F790F">
        <w:rPr>
          <w:rFonts w:ascii="Palatino Linotype" w:eastAsia="MS Mincho" w:hAnsi="Palatino Linotype" w:cs="Tahoma"/>
          <w:b/>
          <w:u w:val="single"/>
          <w:lang w:val="es-ES_tradnl"/>
        </w:rPr>
        <w:t>xls</w:t>
      </w:r>
      <w:proofErr w:type="spellEnd"/>
      <w:r w:rsidRPr="004F790F">
        <w:rPr>
          <w:rFonts w:ascii="Palatino Linotype" w:eastAsia="MS Mincho" w:hAnsi="Palatino Linotype" w:cs="Tahoma"/>
          <w:b/>
          <w:u w:val="single"/>
          <w:lang w:val="es-ES_tradnl"/>
        </w:rPr>
        <w:t>)</w:t>
      </w:r>
      <w:r w:rsidRPr="00D908FB">
        <w:rPr>
          <w:rFonts w:ascii="Palatino Linotype" w:eastAsia="MS Mincho" w:hAnsi="Palatino Linotype" w:cs="Tahoma"/>
          <w:lang w:val="es-ES_tradnl"/>
        </w:rPr>
        <w:t xml:space="preserve">, </w:t>
      </w:r>
      <w:r w:rsidRPr="004F790F">
        <w:rPr>
          <w:rFonts w:ascii="Palatino Linotype" w:eastAsia="MS Mincho" w:hAnsi="Palatino Linotype" w:cs="Tahoma"/>
          <w:b/>
          <w:u w:val="single"/>
          <w:lang w:val="es-ES_tradnl"/>
        </w:rPr>
        <w:t xml:space="preserve">4.3 Reporte de remuneraciones de mandos medios y superiores (Formato </w:t>
      </w:r>
      <w:proofErr w:type="spellStart"/>
      <w:r w:rsidRPr="004F790F">
        <w:rPr>
          <w:rFonts w:ascii="Palatino Linotype" w:eastAsia="MS Mincho" w:hAnsi="Palatino Linotype" w:cs="Tahoma"/>
          <w:b/>
          <w:u w:val="single"/>
          <w:lang w:val="es-ES_tradnl"/>
        </w:rPr>
        <w:t>xls</w:t>
      </w:r>
      <w:proofErr w:type="spellEnd"/>
      <w:r w:rsidRPr="004F790F">
        <w:rPr>
          <w:rFonts w:ascii="Palatino Linotype" w:eastAsia="MS Mincho" w:hAnsi="Palatino Linotype" w:cs="Tahoma"/>
          <w:b/>
          <w:u w:val="single"/>
          <w:lang w:val="es-ES_tradnl"/>
        </w:rPr>
        <w:t>)</w:t>
      </w:r>
      <w:r w:rsidRPr="00D908FB">
        <w:rPr>
          <w:rFonts w:ascii="Palatino Linotype" w:eastAsia="MS Mincho" w:hAnsi="Palatino Linotype" w:cs="Tahoma"/>
          <w:lang w:val="es-ES_tradnl"/>
        </w:rPr>
        <w:t xml:space="preserve">, 4.4 Reporte de Altas y Bajas del Personal (Formato </w:t>
      </w:r>
      <w:proofErr w:type="spellStart"/>
      <w:r w:rsidRPr="00D908FB">
        <w:rPr>
          <w:rFonts w:ascii="Palatino Linotype" w:eastAsia="MS Mincho" w:hAnsi="Palatino Linotype" w:cs="Tahoma"/>
          <w:lang w:val="es-ES_tradnl"/>
        </w:rPr>
        <w:t>xls</w:t>
      </w:r>
      <w:proofErr w:type="spellEnd"/>
      <w:r w:rsidRPr="00D908FB">
        <w:rPr>
          <w:rFonts w:ascii="Palatino Linotype" w:eastAsia="MS Mincho" w:hAnsi="Palatino Linotype" w:cs="Tahoma"/>
          <w:lang w:val="es-ES_tradnl"/>
        </w:rPr>
        <w:t xml:space="preserve">), 4.5 Comprobantes fiscales digitales por internet por concepto de Honorarios (CFDI), 4.6 Comprobantes Fiscales por Internet por concepto de nómina del 01 al 15 del mes (CFDI), 4.7 Comprobantes Fiscales Digitales por Internet por concepto de nómina del 16 al 30/31 del mes (CFDI), 4.8 Tabulador de sueldos (Formato </w:t>
      </w:r>
      <w:proofErr w:type="spellStart"/>
      <w:r w:rsidRPr="00D908FB">
        <w:rPr>
          <w:rFonts w:ascii="Palatino Linotype" w:eastAsia="MS Mincho" w:hAnsi="Palatino Linotype" w:cs="Tahoma"/>
          <w:lang w:val="es-ES_tradnl"/>
        </w:rPr>
        <w:t>xls</w:t>
      </w:r>
      <w:proofErr w:type="spellEnd"/>
      <w:r w:rsidRPr="00D908FB">
        <w:rPr>
          <w:rFonts w:ascii="Palatino Linotype" w:eastAsia="MS Mincho" w:hAnsi="Palatino Linotype" w:cs="Tahoma"/>
          <w:lang w:val="es-ES_tradnl"/>
        </w:rPr>
        <w:t xml:space="preserve">) y 4.9 Dispersión de Nómina (Formato </w:t>
      </w:r>
      <w:proofErr w:type="spellStart"/>
      <w:r w:rsidRPr="00D908FB">
        <w:rPr>
          <w:rFonts w:ascii="Palatino Linotype" w:eastAsia="MS Mincho" w:hAnsi="Palatino Linotype" w:cs="Tahoma"/>
          <w:lang w:val="es-ES_tradnl"/>
        </w:rPr>
        <w:t>xls</w:t>
      </w:r>
      <w:proofErr w:type="spellEnd"/>
      <w:r w:rsidRPr="00D908FB">
        <w:rPr>
          <w:rFonts w:ascii="Palatino Linotype" w:eastAsia="MS Mincho" w:hAnsi="Palatino Linotype" w:cs="Tahoma"/>
          <w:lang w:val="es-ES_tradnl"/>
        </w:rPr>
        <w:t>).</w:t>
      </w:r>
      <w:r w:rsidRPr="00D908FB">
        <w:rPr>
          <w:rFonts w:ascii="Palatino Linotype" w:eastAsia="MS Mincho" w:hAnsi="Palatino Linotype" w:cs="Tahoma"/>
          <w:b/>
          <w:i/>
          <w:lang w:val="es-ES_tradnl"/>
        </w:rPr>
        <w:t xml:space="preserve"> </w:t>
      </w:r>
      <w:r w:rsidRPr="00D908FB">
        <w:rPr>
          <w:rFonts w:ascii="Palatino Linotype" w:eastAsia="MS Mincho" w:hAnsi="Palatino Linotype" w:cs="Tahoma"/>
          <w:lang w:val="es-ES_tradnl"/>
        </w:rPr>
        <w:t>Lo anterior se aprecia con mayor detalle en la siguiente impresión de pantalla que se hace de los Lineamientos de referencia.</w:t>
      </w:r>
    </w:p>
    <w:p w:rsidR="00352C44" w:rsidRPr="00D908FB" w:rsidRDefault="00352C44" w:rsidP="00352C44">
      <w:pPr>
        <w:contextualSpacing/>
        <w:rPr>
          <w:rFonts w:ascii="Palatino Linotype" w:hAnsi="Palatino Linotype"/>
        </w:rPr>
      </w:pPr>
      <w:r w:rsidRPr="00D908FB">
        <w:rPr>
          <w:rFonts w:ascii="Palatino Linotype" w:hAnsi="Palatino Linotype"/>
          <w:noProof/>
          <w:lang w:val="es-MX" w:eastAsia="es-MX"/>
        </w:rPr>
        <w:drawing>
          <wp:inline distT="0" distB="0" distL="0" distR="0" wp14:anchorId="344077D5" wp14:editId="2841F342">
            <wp:extent cx="5612130" cy="2224916"/>
            <wp:effectExtent l="0" t="0" r="7620" b="444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12130" cy="2224916"/>
                    </a:xfrm>
                    <a:prstGeom prst="rect">
                      <a:avLst/>
                    </a:prstGeom>
                    <a:noFill/>
                    <a:ln>
                      <a:noFill/>
                    </a:ln>
                  </pic:spPr>
                </pic:pic>
              </a:graphicData>
            </a:graphic>
          </wp:inline>
        </w:drawing>
      </w:r>
    </w:p>
    <w:p w:rsidR="00352C44" w:rsidRPr="00D908FB" w:rsidRDefault="00352C44" w:rsidP="00352C44">
      <w:pPr>
        <w:spacing w:line="360" w:lineRule="auto"/>
        <w:jc w:val="both"/>
        <w:rPr>
          <w:rFonts w:ascii="Palatino Linotype" w:hAnsi="Palatino Linotype"/>
          <w:lang w:val="es-MX" w:eastAsia="es-MX"/>
        </w:rPr>
      </w:pPr>
      <w:r w:rsidRPr="00D908FB">
        <w:rPr>
          <w:rFonts w:ascii="Palatino Linotype" w:hAnsi="Palatino Linotype" w:cs="Arial"/>
        </w:rPr>
        <w:t xml:space="preserve">Aunado a lo anterior debe precisarse que en los referidos lineamientos en comento contienen formatos </w:t>
      </w:r>
      <w:r w:rsidRPr="00D908FB">
        <w:rPr>
          <w:rFonts w:ascii="Palatino Linotype" w:hAnsi="Palatino Linotype"/>
          <w:lang w:val="es-MX" w:eastAsia="es-MX"/>
        </w:rPr>
        <w:t>relacionados con la “</w:t>
      </w:r>
      <w:r w:rsidRPr="00D908FB">
        <w:rPr>
          <w:rFonts w:ascii="Palatino Linotype" w:hAnsi="Palatino Linotype"/>
          <w:b/>
          <w:u w:val="single"/>
          <w:lang w:val="es-MX" w:eastAsia="es-MX"/>
        </w:rPr>
        <w:t>Nómina general del 01 al 15 del mes</w:t>
      </w:r>
      <w:r w:rsidRPr="00D908FB">
        <w:rPr>
          <w:rFonts w:ascii="Palatino Linotype" w:hAnsi="Palatino Linotype"/>
          <w:lang w:val="es-MX" w:eastAsia="es-MX"/>
        </w:rPr>
        <w:t xml:space="preserve"> y del </w:t>
      </w:r>
      <w:r w:rsidRPr="004F790F">
        <w:rPr>
          <w:rFonts w:ascii="Palatino Linotype" w:hAnsi="Palatino Linotype"/>
          <w:b/>
          <w:u w:val="single"/>
          <w:lang w:val="es-MX" w:eastAsia="es-MX"/>
        </w:rPr>
        <w:t>16 al 30/31 del mes</w:t>
      </w:r>
      <w:r w:rsidRPr="00D908FB">
        <w:rPr>
          <w:rFonts w:ascii="Palatino Linotype" w:hAnsi="Palatino Linotype"/>
          <w:lang w:val="es-MX" w:eastAsia="es-MX"/>
        </w:rPr>
        <w:t>”, “</w:t>
      </w:r>
      <w:r w:rsidRPr="004F790F">
        <w:rPr>
          <w:rFonts w:ascii="Palatino Linotype" w:hAnsi="Palatino Linotype"/>
          <w:b/>
          <w:u w:val="single"/>
          <w:lang w:val="es-MX" w:eastAsia="es-MX"/>
        </w:rPr>
        <w:t xml:space="preserve">Reporte de Remuneraciones de Mandos Medios y </w:t>
      </w:r>
      <w:r w:rsidRPr="004F790F">
        <w:rPr>
          <w:rFonts w:ascii="Palatino Linotype" w:hAnsi="Palatino Linotype"/>
          <w:b/>
          <w:u w:val="single"/>
          <w:lang w:val="es-MX" w:eastAsia="es-MX"/>
        </w:rPr>
        <w:lastRenderedPageBreak/>
        <w:t>Superiores</w:t>
      </w:r>
      <w:r w:rsidRPr="00D908FB">
        <w:rPr>
          <w:rFonts w:ascii="Palatino Linotype" w:hAnsi="Palatino Linotype"/>
          <w:lang w:val="es-MX" w:eastAsia="es-MX"/>
        </w:rPr>
        <w:t xml:space="preserve">”, “Reporte de Alta de Personal” y “Reporte de Bajas de Personal”  información que se encuentra incluida en el disco número 4 del informe mensual que envía el SUJETO OBLIGADO al OSFEM, cuyos formatos respectivos contienen la información que se ilustra a continuación: </w:t>
      </w:r>
    </w:p>
    <w:p w:rsidR="00352C44" w:rsidRPr="00D908FB" w:rsidRDefault="00352C44" w:rsidP="00352C44">
      <w:pPr>
        <w:pStyle w:val="Prrafodelista"/>
        <w:numPr>
          <w:ilvl w:val="0"/>
          <w:numId w:val="9"/>
        </w:numPr>
        <w:spacing w:line="360" w:lineRule="auto"/>
        <w:jc w:val="both"/>
        <w:rPr>
          <w:rFonts w:ascii="Palatino Linotype" w:hAnsi="Palatino Linotype"/>
          <w:lang w:eastAsia="es-MX"/>
        </w:rPr>
      </w:pPr>
      <w:r w:rsidRPr="00D908FB">
        <w:rPr>
          <w:rFonts w:ascii="Palatino Linotype" w:hAnsi="Palatino Linotype"/>
          <w:lang w:eastAsia="es-MX"/>
        </w:rPr>
        <w:t>Formato de Nómina General</w:t>
      </w:r>
      <w:r w:rsidR="004F790F">
        <w:rPr>
          <w:rFonts w:ascii="Palatino Linotype" w:hAnsi="Palatino Linotype"/>
          <w:lang w:eastAsia="es-MX"/>
        </w:rPr>
        <w:t>.</w:t>
      </w:r>
    </w:p>
    <w:p w:rsidR="00352C44" w:rsidRPr="00D908FB" w:rsidRDefault="004F790F" w:rsidP="00352C44">
      <w:pPr>
        <w:spacing w:before="240" w:after="240" w:line="360" w:lineRule="auto"/>
        <w:ind w:right="49"/>
        <w:jc w:val="both"/>
        <w:rPr>
          <w:rFonts w:ascii="Palatino Linotype" w:hAnsi="Palatino Linotype" w:cs="Arial"/>
        </w:rPr>
      </w:pPr>
      <w:r>
        <w:rPr>
          <w:noProof/>
          <w:lang w:val="es-MX" w:eastAsia="es-MX"/>
        </w:rPr>
        <w:drawing>
          <wp:inline distT="0" distB="0" distL="0" distR="0" wp14:anchorId="73FCC30F" wp14:editId="5C3D1B40">
            <wp:extent cx="5602605" cy="4806086"/>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7375" t="7417" r="28440" b="43892"/>
                    <a:stretch/>
                  </pic:blipFill>
                  <pic:spPr bwMode="auto">
                    <a:xfrm>
                      <a:off x="0" y="0"/>
                      <a:ext cx="5633462" cy="4832556"/>
                    </a:xfrm>
                    <a:prstGeom prst="rect">
                      <a:avLst/>
                    </a:prstGeom>
                    <a:ln>
                      <a:noFill/>
                    </a:ln>
                    <a:extLst>
                      <a:ext uri="{53640926-AAD7-44D8-BBD7-CCE9431645EC}">
                        <a14:shadowObscured xmlns:a14="http://schemas.microsoft.com/office/drawing/2010/main"/>
                      </a:ext>
                    </a:extLst>
                  </pic:spPr>
                </pic:pic>
              </a:graphicData>
            </a:graphic>
          </wp:inline>
        </w:drawing>
      </w:r>
    </w:p>
    <w:p w:rsidR="004F790F" w:rsidRDefault="004F790F" w:rsidP="004F790F">
      <w:pPr>
        <w:pStyle w:val="Prrafodelista"/>
        <w:numPr>
          <w:ilvl w:val="0"/>
          <w:numId w:val="9"/>
        </w:numPr>
        <w:spacing w:before="240" w:after="240" w:line="360" w:lineRule="auto"/>
        <w:ind w:right="49"/>
        <w:jc w:val="both"/>
        <w:rPr>
          <w:rFonts w:ascii="Palatino Linotype" w:hAnsi="Palatino Linotype" w:cs="Arial"/>
        </w:rPr>
      </w:pPr>
      <w:r>
        <w:rPr>
          <w:rFonts w:ascii="Palatino Linotype" w:hAnsi="Palatino Linotype" w:cs="Arial"/>
        </w:rPr>
        <w:t>Formato de Reporte de Remuneraciones de Mandos Medios y Superiores.</w:t>
      </w:r>
    </w:p>
    <w:p w:rsidR="004F790F" w:rsidRPr="004F790F" w:rsidRDefault="004F790F" w:rsidP="004F790F">
      <w:pPr>
        <w:spacing w:before="240" w:after="240" w:line="360" w:lineRule="auto"/>
        <w:ind w:right="49"/>
        <w:jc w:val="both"/>
        <w:rPr>
          <w:rFonts w:ascii="Palatino Linotype" w:hAnsi="Palatino Linotype" w:cs="Arial"/>
        </w:rPr>
      </w:pPr>
      <w:r>
        <w:rPr>
          <w:noProof/>
          <w:lang w:val="es-MX" w:eastAsia="es-MX"/>
        </w:rPr>
        <w:lastRenderedPageBreak/>
        <w:drawing>
          <wp:inline distT="0" distB="0" distL="0" distR="0" wp14:anchorId="7B3E8BA6" wp14:editId="390E982A">
            <wp:extent cx="5544471" cy="400873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6851" t="13444" r="28309" b="40884"/>
                    <a:stretch/>
                  </pic:blipFill>
                  <pic:spPr bwMode="auto">
                    <a:xfrm>
                      <a:off x="0" y="0"/>
                      <a:ext cx="5578269" cy="4033167"/>
                    </a:xfrm>
                    <a:prstGeom prst="rect">
                      <a:avLst/>
                    </a:prstGeom>
                    <a:ln>
                      <a:noFill/>
                    </a:ln>
                    <a:extLst>
                      <a:ext uri="{53640926-AAD7-44D8-BBD7-CCE9431645EC}">
                        <a14:shadowObscured xmlns:a14="http://schemas.microsoft.com/office/drawing/2010/main"/>
                      </a:ext>
                    </a:extLst>
                  </pic:spPr>
                </pic:pic>
              </a:graphicData>
            </a:graphic>
          </wp:inline>
        </w:drawing>
      </w:r>
    </w:p>
    <w:p w:rsidR="006A05CF" w:rsidRPr="00FC1A8C" w:rsidRDefault="00352C44" w:rsidP="00737D5C">
      <w:pPr>
        <w:spacing w:before="240" w:after="240" w:line="360" w:lineRule="auto"/>
        <w:ind w:right="49"/>
        <w:jc w:val="both"/>
        <w:rPr>
          <w:rFonts w:ascii="Palatino Linotype" w:hAnsi="Palatino Linotype" w:cs="Arial"/>
        </w:rPr>
      </w:pPr>
      <w:r w:rsidRPr="002A165C">
        <w:rPr>
          <w:rFonts w:ascii="Palatino Linotype" w:hAnsi="Palatino Linotype" w:cs="Arial"/>
        </w:rPr>
        <w:t xml:space="preserve">En consecuencia, resulta evidente que el </w:t>
      </w:r>
      <w:r w:rsidRPr="002A165C">
        <w:rPr>
          <w:rFonts w:ascii="Palatino Linotype" w:hAnsi="Palatino Linotype" w:cs="Arial"/>
          <w:b/>
        </w:rPr>
        <w:t>Sujeto Obligado</w:t>
      </w:r>
      <w:r w:rsidRPr="002A165C">
        <w:rPr>
          <w:rFonts w:ascii="Palatino Linotype" w:hAnsi="Palatino Linotype" w:cs="Arial"/>
        </w:rPr>
        <w:t xml:space="preserve"> en el presente asunto, cuenta con las facultades para generar la información materia de la solicitud del recurrente, </w:t>
      </w:r>
      <w:r w:rsidR="00737D5C" w:rsidRPr="002A165C">
        <w:rPr>
          <w:rFonts w:ascii="Palatino Linotype" w:hAnsi="Palatino Linotype" w:cs="Arial"/>
        </w:rPr>
        <w:t>motivo por el cual lo procedente es ordenar la entrega de la información materia del presente asunto</w:t>
      </w:r>
      <w:r w:rsidR="006A05CF">
        <w:rPr>
          <w:rFonts w:ascii="Palatino Linotype" w:hAnsi="Palatino Linotype" w:cs="Arial"/>
        </w:rPr>
        <w:t xml:space="preserve"> en versión pública conforme a lo establecido en el </w:t>
      </w:r>
      <w:r w:rsidR="006A05CF" w:rsidRPr="00FC1A8C">
        <w:rPr>
          <w:rFonts w:ascii="Palatino Linotype" w:hAnsi="Palatino Linotype" w:cs="Arial"/>
        </w:rPr>
        <w:t>considerando quinto de la presente resolución.</w:t>
      </w:r>
    </w:p>
    <w:p w:rsidR="006A05CF" w:rsidRPr="00FC1A8C" w:rsidRDefault="006A05CF" w:rsidP="006A05CF">
      <w:pPr>
        <w:spacing w:before="240" w:after="240" w:line="360" w:lineRule="auto"/>
        <w:jc w:val="both"/>
        <w:rPr>
          <w:rFonts w:ascii="Palatino Linotype" w:hAnsi="Palatino Linotype" w:cs="Arial"/>
        </w:rPr>
      </w:pPr>
      <w:r w:rsidRPr="00FC1A8C">
        <w:rPr>
          <w:rFonts w:ascii="Palatino Linotype" w:hAnsi="Palatino Linotype"/>
        </w:rPr>
        <w:t xml:space="preserve">No si antes establecer, que si bien el particular solicitó el salario bruto y neto mensual del Presidente Municipal, Síndico y Regidores integrantes del Ayuntamiento, sin embargo omitió precisar el periodo por el que requiere la información, </w:t>
      </w:r>
      <w:r w:rsidRPr="00FC1A8C">
        <w:rPr>
          <w:rFonts w:ascii="Palatino Linotype" w:hAnsi="Palatino Linotype" w:cs="Arial"/>
        </w:rPr>
        <w:t xml:space="preserve">sin embargo, al momento de interponer el medio de defensa, requirió los recibos de nómina o documento que acredite la remuneración de los meses de septiembre y octubre del </w:t>
      </w:r>
      <w:r w:rsidRPr="00FC1A8C">
        <w:rPr>
          <w:rFonts w:ascii="Palatino Linotype" w:hAnsi="Palatino Linotype" w:cs="Arial"/>
        </w:rPr>
        <w:lastRenderedPageBreak/>
        <w:t>año dos mil dieciocho en versión pública del Presidente Municipal, Síndico y Regidores.</w:t>
      </w:r>
    </w:p>
    <w:p w:rsidR="006A05CF" w:rsidRPr="00FC1A8C" w:rsidRDefault="006A05CF" w:rsidP="006A05CF">
      <w:pPr>
        <w:pStyle w:val="Prrafodelista"/>
        <w:autoSpaceDE w:val="0"/>
        <w:autoSpaceDN w:val="0"/>
        <w:adjustRightInd w:val="0"/>
        <w:spacing w:before="240" w:after="240" w:line="360" w:lineRule="auto"/>
        <w:ind w:left="0"/>
        <w:jc w:val="both"/>
        <w:rPr>
          <w:rFonts w:ascii="Palatino Linotype" w:hAnsi="Palatino Linotype" w:cs="Arial"/>
        </w:rPr>
      </w:pPr>
      <w:r w:rsidRPr="00FC1A8C">
        <w:rPr>
          <w:rFonts w:ascii="Palatino Linotype" w:hAnsi="Palatino Linotype" w:cs="Arial"/>
        </w:rPr>
        <w:t xml:space="preserve">Por lo anterior, este Instituto estima necesario subrayar que si bien en la interposición del escrito </w:t>
      </w:r>
      <w:proofErr w:type="spellStart"/>
      <w:r w:rsidRPr="00FC1A8C">
        <w:rPr>
          <w:rFonts w:ascii="Palatino Linotype" w:hAnsi="Palatino Linotype" w:cs="Arial"/>
        </w:rPr>
        <w:t>recursal</w:t>
      </w:r>
      <w:proofErr w:type="spellEnd"/>
      <w:r w:rsidRPr="00FC1A8C">
        <w:rPr>
          <w:rFonts w:ascii="Palatino Linotype" w:hAnsi="Palatino Linotype" w:cs="Arial"/>
        </w:rPr>
        <w:t>, el particular específico de manera enunciativa un documento al cual desea tener acceso y el periodo de entrega, también lo es, que la información solicitada primigeniamente no cambio; toda vez que sigue pidiendo el documento que sustente la remuneración del Presidente Municipal, Sindico y Regidores.</w:t>
      </w:r>
    </w:p>
    <w:p w:rsidR="006A05CF" w:rsidRPr="00FC1A8C" w:rsidRDefault="006A05CF" w:rsidP="006A05CF">
      <w:pPr>
        <w:pStyle w:val="Prrafodelista"/>
        <w:autoSpaceDE w:val="0"/>
        <w:autoSpaceDN w:val="0"/>
        <w:adjustRightInd w:val="0"/>
        <w:spacing w:before="240" w:after="240" w:line="360" w:lineRule="auto"/>
        <w:ind w:left="0"/>
        <w:jc w:val="both"/>
        <w:rPr>
          <w:rFonts w:ascii="Palatino Linotype" w:hAnsi="Palatino Linotype"/>
        </w:rPr>
      </w:pPr>
      <w:r w:rsidRPr="00FC1A8C">
        <w:rPr>
          <w:rFonts w:ascii="Palatino Linotype" w:hAnsi="Palatino Linotype" w:cs="Arial"/>
        </w:rPr>
        <w:t xml:space="preserve">De manera, que los agravios presentados no actualizan hipótesis de ampliación a la solicitud, al no constituir información adicional, lo que en la teoría jurídica se denomina como </w:t>
      </w:r>
      <w:r w:rsidRPr="00FC1A8C">
        <w:rPr>
          <w:rFonts w:ascii="Palatino Linotype" w:hAnsi="Palatino Linotype" w:cs="Arial"/>
          <w:i/>
        </w:rPr>
        <w:t xml:space="preserve">plus </w:t>
      </w:r>
      <w:proofErr w:type="spellStart"/>
      <w:r w:rsidRPr="00FC1A8C">
        <w:rPr>
          <w:rFonts w:ascii="Palatino Linotype" w:hAnsi="Palatino Linotype" w:cs="Arial"/>
          <w:i/>
        </w:rPr>
        <w:t>petitio</w:t>
      </w:r>
      <w:proofErr w:type="spellEnd"/>
      <w:r w:rsidRPr="00FC1A8C">
        <w:rPr>
          <w:rFonts w:ascii="Palatino Linotype" w:hAnsi="Palatino Linotype" w:cs="Arial"/>
          <w:i/>
        </w:rPr>
        <w:t xml:space="preserve">, </w:t>
      </w:r>
      <w:r w:rsidRPr="00FC1A8C">
        <w:rPr>
          <w:rFonts w:ascii="Palatino Linotype" w:hAnsi="Palatino Linotype" w:cs="Arial"/>
        </w:rPr>
        <w:t xml:space="preserve">al encontrarse intimidante relacionados con la solicitud de información y con la negligencia del </w:t>
      </w:r>
      <w:r w:rsidRPr="00FC1A8C">
        <w:rPr>
          <w:rFonts w:ascii="Palatino Linotype" w:hAnsi="Palatino Linotype" w:cs="Arial"/>
          <w:b/>
        </w:rPr>
        <w:t>Sujeto Obligado</w:t>
      </w:r>
      <w:r w:rsidRPr="00FC1A8C">
        <w:rPr>
          <w:rStyle w:val="Refdenotaalpie"/>
          <w:rFonts w:ascii="Palatino Linotype" w:hAnsi="Palatino Linotype" w:cs="Arial"/>
          <w:b/>
        </w:rPr>
        <w:footnoteReference w:id="2"/>
      </w:r>
      <w:r w:rsidRPr="00FC1A8C">
        <w:rPr>
          <w:rFonts w:ascii="Palatino Linotype" w:hAnsi="Palatino Linotype" w:cs="Arial"/>
          <w:i/>
        </w:rPr>
        <w:t xml:space="preserve">, </w:t>
      </w:r>
      <w:r w:rsidRPr="00FC1A8C">
        <w:rPr>
          <w:rFonts w:ascii="Palatino Linotype" w:hAnsi="Palatino Linotype" w:cs="Arial"/>
        </w:rPr>
        <w:t xml:space="preserve">sólo es, </w:t>
      </w:r>
      <w:r w:rsidRPr="00FC1A8C">
        <w:rPr>
          <w:rFonts w:ascii="Palatino Linotype" w:hAnsi="Palatino Linotype"/>
        </w:rPr>
        <w:t>que</w:t>
      </w:r>
      <w:r w:rsidRPr="00FC1A8C">
        <w:rPr>
          <w:rFonts w:ascii="Palatino Linotype" w:hAnsi="Palatino Linotype" w:cs="Arial"/>
          <w:b/>
          <w:i/>
        </w:rPr>
        <w:t xml:space="preserve"> </w:t>
      </w:r>
      <w:r w:rsidRPr="00FC1A8C">
        <w:rPr>
          <w:rFonts w:ascii="Palatino Linotype" w:hAnsi="Palatino Linotype" w:cs="Arial"/>
        </w:rPr>
        <w:t>precisó el periodo de entrega de l</w:t>
      </w:r>
      <w:r w:rsidRPr="00FC1A8C">
        <w:rPr>
          <w:rFonts w:ascii="Palatino Linotype" w:hAnsi="Palatino Linotype"/>
        </w:rPr>
        <w:t xml:space="preserve">os requerimientos planteados en la solicitud de acceso a la información que no fue atendida por el </w:t>
      </w:r>
      <w:r w:rsidRPr="00FC1A8C">
        <w:rPr>
          <w:rFonts w:ascii="Palatino Linotype" w:hAnsi="Palatino Linotype"/>
          <w:b/>
        </w:rPr>
        <w:t xml:space="preserve">Sujeto Obligado, </w:t>
      </w:r>
      <w:r w:rsidRPr="00FC1A8C">
        <w:rPr>
          <w:rFonts w:ascii="Palatino Linotype" w:hAnsi="Palatino Linotype"/>
        </w:rPr>
        <w:t>en consecuencia el soporte documental del salario neto y bruto del Presidente, Sindico y Regidores será el correspondiente a los meses de septiembre y octubre de dos mil dieciocho,</w:t>
      </w:r>
      <w:r w:rsidRPr="00FC1A8C">
        <w:rPr>
          <w:rFonts w:ascii="Palatino Linotype" w:hAnsi="Palatino Linotype" w:cs="Arial"/>
        </w:rPr>
        <w:t xml:space="preserve"> en términos del </w:t>
      </w:r>
      <w:r w:rsidRPr="00FC1A8C">
        <w:rPr>
          <w:rFonts w:ascii="Palatino Linotype" w:eastAsiaTheme="minorHAnsi" w:hAnsi="Palatino Linotype" w:cstheme="minorBidi"/>
        </w:rPr>
        <w:t>artículo 13</w:t>
      </w:r>
      <w:r w:rsidRPr="00FC1A8C">
        <w:rPr>
          <w:rFonts w:ascii="Palatino Linotype" w:hAnsi="Palatino Linotype"/>
        </w:rPr>
        <w:t xml:space="preserve"> de la Ley de Transparencia y Acceso a la Información Pública del Estado de México y Municipios, que estipula lo que se transcribe a continuación:</w:t>
      </w:r>
    </w:p>
    <w:p w:rsidR="006A05CF" w:rsidRPr="00FC1A8C" w:rsidRDefault="006A05CF" w:rsidP="006A05CF">
      <w:pPr>
        <w:autoSpaceDE w:val="0"/>
        <w:autoSpaceDN w:val="0"/>
        <w:adjustRightInd w:val="0"/>
        <w:ind w:left="851" w:right="902"/>
        <w:jc w:val="both"/>
        <w:rPr>
          <w:rFonts w:ascii="Palatino Linotype" w:hAnsi="Palatino Linotype" w:cs="Arial"/>
          <w:i/>
          <w:sz w:val="22"/>
          <w:szCs w:val="22"/>
        </w:rPr>
      </w:pPr>
      <w:r w:rsidRPr="00FC1A8C">
        <w:rPr>
          <w:rFonts w:ascii="Palatino Linotype" w:eastAsiaTheme="minorEastAsia" w:hAnsi="Palatino Linotype" w:cs="Bookman Old Style,Bold"/>
          <w:b/>
          <w:bCs/>
          <w:i/>
          <w:sz w:val="22"/>
          <w:szCs w:val="22"/>
          <w:lang w:val="es-MX"/>
        </w:rPr>
        <w:t>“</w:t>
      </w:r>
      <w:r w:rsidRPr="00FC1A8C">
        <w:rPr>
          <w:rFonts w:ascii="Palatino Linotype" w:hAnsi="Palatino Linotype"/>
          <w:b/>
          <w:i/>
          <w:sz w:val="22"/>
          <w:szCs w:val="22"/>
        </w:rPr>
        <w:t>Artículo 13.</w:t>
      </w:r>
      <w:r w:rsidRPr="00FC1A8C">
        <w:rPr>
          <w:rFonts w:ascii="Palatino Linotype" w:hAnsi="Palatino Linotype"/>
          <w:i/>
          <w:sz w:val="22"/>
          <w:szCs w:val="22"/>
        </w:rPr>
        <w:t xml:space="preserve"> El Instituto, en el ámbito de sus atribuciones, deberá suplir cualquier deficiencia para garantizar el ejercicio del derecho de acceso a la información.</w:t>
      </w:r>
      <w:r w:rsidRPr="00FC1A8C">
        <w:rPr>
          <w:rFonts w:ascii="Palatino Linotype" w:eastAsiaTheme="minorEastAsia" w:hAnsi="Palatino Linotype" w:cs="Bookman Old Style"/>
          <w:i/>
          <w:sz w:val="22"/>
          <w:szCs w:val="22"/>
          <w:lang w:val="es-MX"/>
        </w:rPr>
        <w:t>”</w:t>
      </w:r>
    </w:p>
    <w:p w:rsidR="006A05CF" w:rsidRPr="00FC1A8C" w:rsidRDefault="006A05CF" w:rsidP="006A05CF">
      <w:pPr>
        <w:spacing w:before="240" w:after="240" w:line="360" w:lineRule="auto"/>
        <w:jc w:val="both"/>
        <w:rPr>
          <w:rFonts w:ascii="Palatino Linotype" w:hAnsi="Palatino Linotype" w:cs="Arial"/>
        </w:rPr>
      </w:pPr>
      <w:r w:rsidRPr="00FC1A8C">
        <w:rPr>
          <w:rFonts w:ascii="Palatino Linotype" w:hAnsi="Palatino Linotype" w:cs="Arial"/>
        </w:rPr>
        <w:lastRenderedPageBreak/>
        <w:t xml:space="preserve">Sirve de sustento a lo anterior la tesis aislada 1a. CCI/2018 (10a.)  </w:t>
      </w:r>
      <w:proofErr w:type="gramStart"/>
      <w:r w:rsidRPr="00FC1A8C">
        <w:rPr>
          <w:rFonts w:ascii="Palatino Linotype" w:hAnsi="Palatino Linotype" w:cs="Arial"/>
        </w:rPr>
        <w:t>de</w:t>
      </w:r>
      <w:proofErr w:type="gramEnd"/>
      <w:r w:rsidRPr="00FC1A8C">
        <w:rPr>
          <w:rFonts w:ascii="Palatino Linotype" w:hAnsi="Palatino Linotype" w:cs="Arial"/>
        </w:rPr>
        <w:t xml:space="preserve"> la Décima Época, de Primera Sala en materia Constitucional de la Suprema Corte de Justicia de la Nación, que es del tenor literal siguiente: </w:t>
      </w:r>
    </w:p>
    <w:p w:rsidR="006A05CF" w:rsidRPr="00FC1A8C" w:rsidRDefault="006A05CF" w:rsidP="006A05CF">
      <w:pPr>
        <w:ind w:left="851" w:right="902"/>
        <w:jc w:val="both"/>
        <w:rPr>
          <w:rFonts w:ascii="Palatino Linotype" w:hAnsi="Palatino Linotype" w:cs="Arial"/>
          <w:i/>
          <w:sz w:val="20"/>
          <w:szCs w:val="20"/>
        </w:rPr>
      </w:pPr>
      <w:r w:rsidRPr="00FC1A8C">
        <w:rPr>
          <w:rFonts w:ascii="Palatino Linotype" w:hAnsi="Palatino Linotype" w:cs="Arial"/>
          <w:b/>
          <w:i/>
          <w:sz w:val="20"/>
          <w:szCs w:val="20"/>
        </w:rPr>
        <w:t xml:space="preserve">“SUPLENCIA DE LA QUEJA DEFICIENTE PREVISTA EN EL ARTÍCULO 79 DE LA LEY DE AMPARO. PERMITE A LAS PARTES ENCONTRARSE EN UN PLANO DE IGUALDAD Y HACER EFECTIVO LO DISPUESTO POR EL ARTÍCULO 1o. DE LA CONSTITUCIÓN POLÍTICA DE LOS ESTADOS UNIDOS MEXICANOS. </w:t>
      </w:r>
      <w:r w:rsidRPr="00FC1A8C">
        <w:rPr>
          <w:rFonts w:ascii="Palatino Linotype" w:hAnsi="Palatino Linotype" w:cs="Arial"/>
          <w:i/>
          <w:sz w:val="20"/>
          <w:szCs w:val="20"/>
        </w:rPr>
        <w:t>En el artículo 79 de la Ley de Amparo se acogen distintos supuestos que el legislador, en ejercicio de su libertad configurativa, consideró que requerían especial protección, ya sea por la calidad de la persona o por el grupo al que pertenecen (menores de edad), la materia de que se trata (penal, agraria, laboral), porque su posición en el proceso involucra una concreta debilidad o vulnerabilidad (una violación evidente de la ley que lo haya dejado sin defensa), o bien se afecten ciertas instituciones (el orden y desarrollo de la familia). Así, con la suplencia de la queja se pretende que, a causa de una deficiente argumentación jurídica, no se produzca una violación mayor dejándose a la persona en estado de indefensión, dadas las particulares condiciones en las que se encuentra. Asimismo, la lógica de la suplencia de la queja deficiente implica la protección a ciertos supuestos concretos y específicos: el legislador ha estimado adecuado atemperar los tecnicismos del juicio de amparo para lograr una eficaz protección de los derechos humanos violados y sus garantías, al considerar que, por una serie de circunstancias de carácter histórico, social y/o jurídico, en esos supuestos se requiere especial protección. En definitiva, los supuestos de suplencia de la queja que prevé el artículo 79 aludido se caracterizan por presentar posiciones asimétricas entre las partes, y, en consecuencia, se asume que una de ellas cuenta con menores recursos (ya sea educativos, sociales, económicos o de cualquiera otra índole) ocasionándose una disparidad que repercute en su derecho de acceso a la justicia. Ante tal disparidad, la suplencia de la queja funciona como un mecanismo que permite a las partes encontrarse en un plano de igualdad y hacer efectivo lo dispuesto por el artículo 1o. constitucional.”</w:t>
      </w:r>
    </w:p>
    <w:p w:rsidR="006A05CF" w:rsidRPr="00FC1A8C" w:rsidRDefault="006A05CF" w:rsidP="006A05CF">
      <w:pPr>
        <w:shd w:val="clear" w:color="auto" w:fill="FFFFFF"/>
        <w:spacing w:before="240" w:after="240" w:line="360" w:lineRule="auto"/>
        <w:jc w:val="both"/>
        <w:rPr>
          <w:rFonts w:ascii="Palatino Linotype" w:hAnsi="Palatino Linotype"/>
        </w:rPr>
      </w:pPr>
      <w:r w:rsidRPr="00FC1A8C">
        <w:rPr>
          <w:rFonts w:ascii="Palatino Linotype" w:hAnsi="Palatino Linotype" w:cs="Arial"/>
          <w:lang w:val="es-MX" w:eastAsia="es-MX"/>
        </w:rPr>
        <w:t xml:space="preserve">Cabe precisar que si bien la solicitud de información fue interpuesta en fecha doce de octubre de dos mil dieciocho, también lo es que a la fecha de dar cumplimiento a la presente resolución, la información del sueldo bruto y neto mensual del mes de octubre de dos mil dieciocho ya fue generada por el </w:t>
      </w:r>
      <w:r w:rsidRPr="00FC1A8C">
        <w:rPr>
          <w:rFonts w:ascii="Palatino Linotype" w:hAnsi="Palatino Linotype" w:cs="Arial"/>
          <w:b/>
          <w:lang w:val="es-MX" w:eastAsia="es-MX"/>
        </w:rPr>
        <w:t>Sujeto Obligado,</w:t>
      </w:r>
      <w:r w:rsidRPr="00FC1A8C">
        <w:rPr>
          <w:rFonts w:ascii="Palatino Linotype" w:hAnsi="Palatino Linotype" w:cs="Arial"/>
          <w:lang w:val="es-MX" w:eastAsia="es-MX"/>
        </w:rPr>
        <w:t xml:space="preserve"> por lo que con el objeto de garantizar el principio de máxima publicidad, así como los de </w:t>
      </w:r>
      <w:r w:rsidRPr="00FC1A8C">
        <w:rPr>
          <w:rFonts w:ascii="Palatino Linotype" w:hAnsi="Palatino Linotype"/>
        </w:rPr>
        <w:t xml:space="preserve">prontitud, eficacia y expedites consagrados en los artículo 17 de la Constitución Política de los Estados Unidos Mexicanos, resulta procedente su entrega, toda vez </w:t>
      </w:r>
      <w:r w:rsidRPr="00FC1A8C">
        <w:rPr>
          <w:rFonts w:ascii="Palatino Linotype" w:hAnsi="Palatino Linotype"/>
        </w:rPr>
        <w:lastRenderedPageBreak/>
        <w:t>que dejar a su salvo los derechos del particular para interponer nueva solicitud de acceso a la información, transgrediría m</w:t>
      </w:r>
      <w:r w:rsidR="006859BC" w:rsidRPr="00FC1A8C">
        <w:rPr>
          <w:rFonts w:ascii="Palatino Linotype" w:hAnsi="Palatino Linotype"/>
        </w:rPr>
        <w:t>ás el derecho en cuestión,</w:t>
      </w:r>
      <w:r w:rsidRPr="00FC1A8C">
        <w:rPr>
          <w:rFonts w:ascii="Palatino Linotype" w:hAnsi="Palatino Linotype"/>
        </w:rPr>
        <w:t xml:space="preserve"> que de por sí ya se vio afectado con la falta de respuesta, en el tiempo previsto para ello</w:t>
      </w:r>
      <w:r w:rsidRPr="00FC1A8C">
        <w:rPr>
          <w:rStyle w:val="Refdenotaalpie"/>
          <w:rFonts w:ascii="Palatino Linotype" w:hAnsi="Palatino Linotype"/>
        </w:rPr>
        <w:footnoteReference w:id="3"/>
      </w:r>
      <w:r w:rsidRPr="00FC1A8C">
        <w:rPr>
          <w:rFonts w:ascii="Palatino Linotype" w:hAnsi="Palatino Linotype"/>
        </w:rPr>
        <w:t>,  no atender el requerimiento contravendría l</w:t>
      </w:r>
      <w:r w:rsidRPr="00FC1A8C">
        <w:rPr>
          <w:rFonts w:ascii="Palatino Linotype" w:hAnsi="Palatino Linotype" w:cs="Arial"/>
          <w:lang w:eastAsia="es-MX"/>
        </w:rPr>
        <w:t>a protección más amplia a los derecho</w:t>
      </w:r>
      <w:r w:rsidR="006859BC" w:rsidRPr="00FC1A8C">
        <w:rPr>
          <w:rFonts w:ascii="Palatino Linotype" w:hAnsi="Palatino Linotype" w:cs="Arial"/>
          <w:lang w:eastAsia="es-MX"/>
        </w:rPr>
        <w:t>s fundamentales del ser humano,</w:t>
      </w:r>
      <w:r w:rsidRPr="00FC1A8C">
        <w:rPr>
          <w:rFonts w:ascii="Palatino Linotype" w:hAnsi="Palatino Linotype" w:cs="Arial"/>
          <w:lang w:eastAsia="es-MX"/>
        </w:rPr>
        <w:t xml:space="preserve"> </w:t>
      </w:r>
      <w:r w:rsidRPr="00FC1A8C">
        <w:rPr>
          <w:rFonts w:ascii="Palatino Linotype" w:hAnsi="Palatino Linotype"/>
        </w:rPr>
        <w:t>sirve de sustento la jurisprudencia que responde al rubro y texto siguiente:</w:t>
      </w:r>
    </w:p>
    <w:p w:rsidR="006A05CF" w:rsidRPr="00FC1A8C" w:rsidRDefault="006A05CF" w:rsidP="006A05CF">
      <w:pPr>
        <w:shd w:val="clear" w:color="auto" w:fill="FFFFFF"/>
        <w:spacing w:after="120"/>
        <w:ind w:left="851" w:right="900"/>
        <w:jc w:val="both"/>
        <w:rPr>
          <w:rFonts w:ascii="Palatino Linotype" w:hAnsi="Palatino Linotype"/>
          <w:i/>
          <w:sz w:val="20"/>
          <w:szCs w:val="20"/>
        </w:rPr>
      </w:pPr>
      <w:r w:rsidRPr="00FC1A8C">
        <w:rPr>
          <w:rFonts w:ascii="Palatino Linotype" w:hAnsi="Palatino Linotype"/>
          <w:b/>
          <w:i/>
          <w:sz w:val="20"/>
          <w:szCs w:val="20"/>
        </w:rPr>
        <w:t>“SUBGARANTÍAS DE PRONTITUD, EFICACIA Y EXPEDITEZ CONTENIDAS EN EL SEGUNDO PÁRRAFO DEL ARTÍCULO 17 DE LA CONSTITUCIÓN FEDERAL. NO SON PRIVATIVAS DEL ÁMBITO JUDICIAL, SINO QUE SU DIMENSIÓN DE ACCESO A LA JUSTICIA COMPRENDE LOS PROCEDIMIENTOS ADMINISTRATIVOS DE CARÁCTER NO CONTENCIOSO SEGUIDOS ANTE LAS DEPENDENCIAS DEL PODER EJECUTIVO.</w:t>
      </w:r>
      <w:r w:rsidRPr="00FC1A8C">
        <w:rPr>
          <w:rFonts w:ascii="Palatino Linotype" w:hAnsi="Palatino Linotype"/>
          <w:i/>
          <w:sz w:val="20"/>
          <w:szCs w:val="20"/>
        </w:rPr>
        <w:t xml:space="preserve"> El artículo 1o., tercer párrafo, de la Constitución Política de los Estados Unidos Mexicanos establece la obligación de toda autoridad de promover, respetar y garantizar los derechos humanos, favoreciendo la protección más amplia posible a favor de la persona, de conformidad con los principios de universalidad, interdependencia, indivisibilidad y progresividad. En tales condiciones, debe estimarse que la observancia de las </w:t>
      </w:r>
      <w:proofErr w:type="spellStart"/>
      <w:r w:rsidRPr="00FC1A8C">
        <w:rPr>
          <w:rFonts w:ascii="Palatino Linotype" w:hAnsi="Palatino Linotype"/>
          <w:i/>
          <w:sz w:val="20"/>
          <w:szCs w:val="20"/>
        </w:rPr>
        <w:t>subgarantías</w:t>
      </w:r>
      <w:proofErr w:type="spellEnd"/>
      <w:r w:rsidRPr="00FC1A8C">
        <w:rPr>
          <w:rFonts w:ascii="Palatino Linotype" w:hAnsi="Palatino Linotype"/>
          <w:i/>
          <w:sz w:val="20"/>
          <w:szCs w:val="20"/>
        </w:rPr>
        <w:t xml:space="preserve"> de prontitud, eficacia y </w:t>
      </w:r>
      <w:proofErr w:type="spellStart"/>
      <w:r w:rsidRPr="00FC1A8C">
        <w:rPr>
          <w:rFonts w:ascii="Palatino Linotype" w:hAnsi="Palatino Linotype"/>
          <w:i/>
          <w:sz w:val="20"/>
          <w:szCs w:val="20"/>
        </w:rPr>
        <w:t>expeditez</w:t>
      </w:r>
      <w:proofErr w:type="spellEnd"/>
      <w:r w:rsidRPr="00FC1A8C">
        <w:rPr>
          <w:rFonts w:ascii="Palatino Linotype" w:hAnsi="Palatino Linotype"/>
          <w:i/>
          <w:sz w:val="20"/>
          <w:szCs w:val="20"/>
        </w:rPr>
        <w:t xml:space="preserve"> contenidas en el segundo párrafo del artículo 17 de la Carta Magna, no sólo resulta atribuible a las autoridades que ejerzan actos materialmente jurisdiccionales, sino que debe expandirse a todas las manifestaciones del poder público, como son los procedimientos administrativos no contenciosos seguidos ante las dependencias del Poder Ejecutivo. Ello es así, pues la eficacia de la autoridad administrativa presupone no sólo una sujeción irrestricta a los procedimientos señalados en la ley y los reglamentos, sino también que su proceder no puede ser ajeno a la tutela del derecho de acceso a la jurisdicción en las vertientes señaladas, lo que, además, implica en un correcto ejercicio de la función pública, la adopción de medidas, actuaciones y decisiones eficaces, ágiles y respetuosas de los derechos de los administrados, razones por las que las citadas </w:t>
      </w:r>
      <w:proofErr w:type="spellStart"/>
      <w:r w:rsidRPr="00FC1A8C">
        <w:rPr>
          <w:rFonts w:ascii="Palatino Linotype" w:hAnsi="Palatino Linotype"/>
          <w:i/>
          <w:sz w:val="20"/>
          <w:szCs w:val="20"/>
        </w:rPr>
        <w:t>subgarantías</w:t>
      </w:r>
      <w:proofErr w:type="spellEnd"/>
      <w:r w:rsidRPr="00FC1A8C">
        <w:rPr>
          <w:rFonts w:ascii="Palatino Linotype" w:hAnsi="Palatino Linotype"/>
          <w:i/>
          <w:sz w:val="20"/>
          <w:szCs w:val="20"/>
        </w:rPr>
        <w:t xml:space="preserve"> de prontitud, eficacia y </w:t>
      </w:r>
      <w:proofErr w:type="spellStart"/>
      <w:r w:rsidRPr="00FC1A8C">
        <w:rPr>
          <w:rFonts w:ascii="Palatino Linotype" w:hAnsi="Palatino Linotype"/>
          <w:i/>
          <w:sz w:val="20"/>
          <w:szCs w:val="20"/>
        </w:rPr>
        <w:t>expeditez</w:t>
      </w:r>
      <w:proofErr w:type="spellEnd"/>
      <w:r w:rsidRPr="00FC1A8C">
        <w:rPr>
          <w:rFonts w:ascii="Palatino Linotype" w:hAnsi="Palatino Linotype"/>
          <w:i/>
          <w:sz w:val="20"/>
          <w:szCs w:val="20"/>
        </w:rPr>
        <w:t xml:space="preserve"> no pueden ser privativas del ámbito judicial, sino que comprenden la producción de los actos administrativos.”</w:t>
      </w:r>
    </w:p>
    <w:p w:rsidR="006859BC" w:rsidRPr="00FC1A8C" w:rsidRDefault="006859BC" w:rsidP="006A05CF">
      <w:pPr>
        <w:shd w:val="clear" w:color="auto" w:fill="FFFFFF"/>
        <w:spacing w:after="120"/>
        <w:ind w:left="851" w:right="900"/>
        <w:jc w:val="both"/>
        <w:rPr>
          <w:rFonts w:ascii="Palatino Linotype" w:hAnsi="Palatino Linotype"/>
          <w:i/>
          <w:sz w:val="20"/>
          <w:szCs w:val="20"/>
        </w:rPr>
      </w:pPr>
    </w:p>
    <w:p w:rsidR="002A165C" w:rsidRDefault="002A165C" w:rsidP="00352C44">
      <w:pPr>
        <w:spacing w:before="240" w:after="240" w:line="360" w:lineRule="auto"/>
        <w:jc w:val="both"/>
        <w:rPr>
          <w:rFonts w:ascii="Palatino Linotype" w:hAnsi="Palatino Linotype" w:cs="Arial"/>
          <w:lang w:val="es-MX" w:eastAsia="en-US"/>
        </w:rPr>
      </w:pPr>
      <w:r w:rsidRPr="00FC1A8C">
        <w:rPr>
          <w:rFonts w:ascii="Palatino Linotype" w:hAnsi="Palatino Linotype" w:cs="Arial"/>
          <w:lang w:val="es-MX" w:eastAsia="en-US"/>
        </w:rPr>
        <w:t xml:space="preserve">Al respecto </w:t>
      </w:r>
      <w:r>
        <w:rPr>
          <w:rFonts w:ascii="Palatino Linotype" w:hAnsi="Palatino Linotype" w:cs="Arial"/>
          <w:lang w:val="es-MX" w:eastAsia="en-US"/>
        </w:rPr>
        <w:t xml:space="preserve">este Instituto considera pertinente precisar que personal adscrito a este Órgano Garante realizo la consulta de la página oficial del Órgano Superior de </w:t>
      </w:r>
      <w:r>
        <w:rPr>
          <w:rFonts w:ascii="Palatino Linotype" w:hAnsi="Palatino Linotype" w:cs="Arial"/>
          <w:lang w:val="es-MX" w:eastAsia="en-US"/>
        </w:rPr>
        <w:lastRenderedPageBreak/>
        <w:t xml:space="preserve">Fiscalización del Estado de México, de manera específica en el apartado denominado “Cumplimiento de obligaciones Periódicas de Entidades Fiscalizables”, consultable en el link siguiente </w:t>
      </w:r>
      <w:hyperlink r:id="rId12" w:history="1">
        <w:r w:rsidRPr="006A1C4F">
          <w:rPr>
            <w:rStyle w:val="Hipervnculo"/>
            <w:rFonts w:ascii="Palatino Linotype" w:hAnsi="Palatino Linotype" w:cs="Arial"/>
            <w:lang w:val="es-MX" w:eastAsia="en-US"/>
          </w:rPr>
          <w:t>https://www.osfem.gob.mx/09_Iconografia/Cumplimiento/Aytto/Aytto_18.html</w:t>
        </w:r>
      </w:hyperlink>
      <w:r>
        <w:rPr>
          <w:rFonts w:ascii="Palatino Linotype" w:hAnsi="Palatino Linotype" w:cs="Arial"/>
          <w:lang w:val="es-MX" w:eastAsia="en-US"/>
        </w:rPr>
        <w:t xml:space="preserve">, obteniendo lo que a continuación se muestra: </w:t>
      </w:r>
    </w:p>
    <w:p w:rsidR="002A165C" w:rsidRDefault="006A05CF" w:rsidP="00352C44">
      <w:pPr>
        <w:spacing w:before="240" w:after="240" w:line="360" w:lineRule="auto"/>
        <w:jc w:val="both"/>
        <w:rPr>
          <w:rFonts w:ascii="Palatino Linotype" w:hAnsi="Palatino Linotype" w:cs="Arial"/>
          <w:lang w:val="es-MX" w:eastAsia="en-US"/>
        </w:rPr>
      </w:pPr>
      <w:r>
        <w:rPr>
          <w:noProof/>
          <w:lang w:val="es-MX" w:eastAsia="es-MX"/>
        </w:rPr>
        <mc:AlternateContent>
          <mc:Choice Requires="wps">
            <w:drawing>
              <wp:anchor distT="0" distB="0" distL="114300" distR="114300" simplePos="0" relativeHeight="251665408" behindDoc="0" locked="0" layoutInCell="1" allowOverlap="1" wp14:anchorId="483971D4" wp14:editId="5ED0BB4A">
                <wp:simplePos x="0" y="0"/>
                <wp:positionH relativeFrom="column">
                  <wp:posOffset>3901441</wp:posOffset>
                </wp:positionH>
                <wp:positionV relativeFrom="paragraph">
                  <wp:posOffset>2515235</wp:posOffset>
                </wp:positionV>
                <wp:extent cx="572770" cy="79375"/>
                <wp:effectExtent l="0" t="0" r="17780" b="15875"/>
                <wp:wrapNone/>
                <wp:docPr id="20" name="Rectángulo 20"/>
                <wp:cNvGraphicFramePr/>
                <a:graphic xmlns:a="http://schemas.openxmlformats.org/drawingml/2006/main">
                  <a:graphicData uri="http://schemas.microsoft.com/office/word/2010/wordprocessingShape">
                    <wps:wsp>
                      <wps:cNvSpPr/>
                      <wps:spPr>
                        <a:xfrm>
                          <a:off x="0" y="0"/>
                          <a:ext cx="572770" cy="7937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24BF50" id="Rectángulo 20" o:spid="_x0000_s1026" style="position:absolute;margin-left:307.2pt;margin-top:198.05pt;width:45.1pt;height:6.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" filled="f" strokecolor="red" strokeweight="1.5pt"/>
            </w:pict>
          </mc:Fallback>
        </mc:AlternateContent>
      </w:r>
      <w:r w:rsidR="00F06DB5">
        <w:rPr>
          <w:noProof/>
          <w:lang w:val="es-MX" w:eastAsia="es-MX"/>
        </w:rPr>
        <mc:AlternateContent>
          <mc:Choice Requires="wps">
            <w:drawing>
              <wp:anchor distT="0" distB="0" distL="114300" distR="114300" simplePos="0" relativeHeight="251663360" behindDoc="0" locked="0" layoutInCell="1" allowOverlap="1" wp14:anchorId="1C543AF3" wp14:editId="66663C44">
                <wp:simplePos x="0" y="0"/>
                <wp:positionH relativeFrom="column">
                  <wp:posOffset>2050771</wp:posOffset>
                </wp:positionH>
                <wp:positionV relativeFrom="paragraph">
                  <wp:posOffset>1166876</wp:posOffset>
                </wp:positionV>
                <wp:extent cx="1543507" cy="94615"/>
                <wp:effectExtent l="0" t="0" r="19050" b="19685"/>
                <wp:wrapNone/>
                <wp:docPr id="19" name="Rectángulo 19"/>
                <wp:cNvGraphicFramePr/>
                <a:graphic xmlns:a="http://schemas.openxmlformats.org/drawingml/2006/main">
                  <a:graphicData uri="http://schemas.microsoft.com/office/word/2010/wordprocessingShape">
                    <wps:wsp>
                      <wps:cNvSpPr/>
                      <wps:spPr>
                        <a:xfrm>
                          <a:off x="0" y="0"/>
                          <a:ext cx="1543507" cy="9461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05D3A4" id="Rectángulo 19" o:spid="_x0000_s1026" style="position:absolute;margin-left:161.5pt;margin-top:91.9pt;width:121.55pt;height:7.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" filled="f" strokecolor="red" strokeweight="1.5pt"/>
            </w:pict>
          </mc:Fallback>
        </mc:AlternateContent>
      </w:r>
      <w:r w:rsidR="00F06DB5">
        <w:rPr>
          <w:noProof/>
          <w:lang w:val="es-MX" w:eastAsia="es-MX"/>
        </w:rPr>
        <mc:AlternateContent>
          <mc:Choice Requires="wps">
            <w:drawing>
              <wp:anchor distT="0" distB="0" distL="114300" distR="114300" simplePos="0" relativeHeight="251667456" behindDoc="0" locked="0" layoutInCell="1" allowOverlap="1" wp14:anchorId="7B22DB2F" wp14:editId="033F9C27">
                <wp:simplePos x="0" y="0"/>
                <wp:positionH relativeFrom="column">
                  <wp:posOffset>4164863</wp:posOffset>
                </wp:positionH>
                <wp:positionV relativeFrom="paragraph">
                  <wp:posOffset>1459484</wp:posOffset>
                </wp:positionV>
                <wp:extent cx="292608" cy="197510"/>
                <wp:effectExtent l="0" t="0" r="12700" b="12065"/>
                <wp:wrapNone/>
                <wp:docPr id="21" name="Rectángulo 21"/>
                <wp:cNvGraphicFramePr/>
                <a:graphic xmlns:a="http://schemas.openxmlformats.org/drawingml/2006/main">
                  <a:graphicData uri="http://schemas.microsoft.com/office/word/2010/wordprocessingShape">
                    <wps:wsp>
                      <wps:cNvSpPr/>
                      <wps:spPr>
                        <a:xfrm>
                          <a:off x="0" y="0"/>
                          <a:ext cx="292608" cy="19751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965113" id="Rectángulo 21" o:spid="_x0000_s1026" style="position:absolute;margin-left:327.95pt;margin-top:114.9pt;width:23.05pt;height:15.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" filled="f" strokecolor="red" strokeweight="1.5pt"/>
            </w:pict>
          </mc:Fallback>
        </mc:AlternateContent>
      </w:r>
      <w:r w:rsidR="002A165C">
        <w:rPr>
          <w:noProof/>
          <w:lang w:val="es-MX" w:eastAsia="es-MX"/>
        </w:rPr>
        <mc:AlternateContent>
          <mc:Choice Requires="wps">
            <w:drawing>
              <wp:anchor distT="0" distB="0" distL="114300" distR="114300" simplePos="0" relativeHeight="251661312" behindDoc="0" locked="0" layoutInCell="1" allowOverlap="1" wp14:anchorId="324B8DEE" wp14:editId="1790B0DD">
                <wp:simplePos x="0" y="0"/>
                <wp:positionH relativeFrom="column">
                  <wp:posOffset>273177</wp:posOffset>
                </wp:positionH>
                <wp:positionV relativeFrom="paragraph">
                  <wp:posOffset>2505558</wp:posOffset>
                </wp:positionV>
                <wp:extent cx="1623974" cy="94640"/>
                <wp:effectExtent l="0" t="0" r="14605" b="19685"/>
                <wp:wrapNone/>
                <wp:docPr id="16" name="Rectángulo 16"/>
                <wp:cNvGraphicFramePr/>
                <a:graphic xmlns:a="http://schemas.openxmlformats.org/drawingml/2006/main">
                  <a:graphicData uri="http://schemas.microsoft.com/office/word/2010/wordprocessingShape">
                    <wps:wsp>
                      <wps:cNvSpPr/>
                      <wps:spPr>
                        <a:xfrm>
                          <a:off x="0" y="0"/>
                          <a:ext cx="1623974" cy="9464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D01ECDF" id="Rectángulo 16" o:spid="_x0000_s1026" style="position:absolute;margin-left:21.5pt;margin-top:197.3pt;width:127.85pt;height:7.4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" filled="f" strokecolor="red" strokeweight="1.5pt"/>
            </w:pict>
          </mc:Fallback>
        </mc:AlternateContent>
      </w:r>
      <w:r w:rsidR="002A165C">
        <w:rPr>
          <w:noProof/>
          <w:lang w:val="es-MX" w:eastAsia="es-MX"/>
        </w:rPr>
        <w:drawing>
          <wp:inline distT="0" distB="0" distL="0" distR="0" wp14:anchorId="62E4429C" wp14:editId="239CD624">
            <wp:extent cx="5603240" cy="3869741"/>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3334" t="9969" r="24660" b="3799"/>
                    <a:stretch/>
                  </pic:blipFill>
                  <pic:spPr bwMode="auto">
                    <a:xfrm>
                      <a:off x="0" y="0"/>
                      <a:ext cx="5618890" cy="3880549"/>
                    </a:xfrm>
                    <a:prstGeom prst="rect">
                      <a:avLst/>
                    </a:prstGeom>
                    <a:ln>
                      <a:noFill/>
                    </a:ln>
                    <a:extLst>
                      <a:ext uri="{53640926-AAD7-44D8-BBD7-CCE9431645EC}">
                        <a14:shadowObscured xmlns:a14="http://schemas.microsoft.com/office/drawing/2010/main"/>
                      </a:ext>
                    </a:extLst>
                  </pic:spPr>
                </pic:pic>
              </a:graphicData>
            </a:graphic>
          </wp:inline>
        </w:drawing>
      </w:r>
    </w:p>
    <w:p w:rsidR="002A165C" w:rsidRPr="002A165C" w:rsidRDefault="00F06DB5" w:rsidP="00352C44">
      <w:pPr>
        <w:spacing w:before="240" w:after="240" w:line="360" w:lineRule="auto"/>
        <w:jc w:val="both"/>
        <w:rPr>
          <w:rFonts w:ascii="Palatino Linotype" w:hAnsi="Palatino Linotype" w:cs="Arial"/>
          <w:lang w:val="es-MX" w:eastAsia="en-US"/>
        </w:rPr>
      </w:pPr>
      <w:r>
        <w:rPr>
          <w:rFonts w:ascii="Palatino Linotype" w:hAnsi="Palatino Linotype" w:cs="Arial"/>
          <w:lang w:val="es-MX" w:eastAsia="en-US"/>
        </w:rPr>
        <w:t>De la imagen insertada con antelación se advierte que el Sujeto Obligado ha cumplido con la obligación de entregar los informes mensuales al Órgano Superior de Fiscalización del Estado de México, razón por la cual una vez más se advierte que la información materia del presente asunto debe obrar en sus archivos.</w:t>
      </w:r>
    </w:p>
    <w:p w:rsidR="00352C44" w:rsidRPr="00D908FB" w:rsidRDefault="00352C44" w:rsidP="00352C44">
      <w:pPr>
        <w:spacing w:before="240" w:after="240" w:line="360" w:lineRule="auto"/>
        <w:jc w:val="both"/>
        <w:rPr>
          <w:rFonts w:ascii="Palatino Linotype" w:hAnsi="Palatino Linotype" w:cs="Arial"/>
        </w:rPr>
      </w:pPr>
      <w:r w:rsidRPr="00D908FB">
        <w:rPr>
          <w:rFonts w:ascii="Palatino Linotype" w:hAnsi="Palatino Linotype" w:cs="Arial"/>
          <w:bCs/>
          <w:szCs w:val="22"/>
          <w:lang w:val="es-MX"/>
        </w:rPr>
        <w:lastRenderedPageBreak/>
        <w:t>Una vez precisado lo anterior,</w:t>
      </w:r>
      <w:r w:rsidRPr="00D908FB">
        <w:rPr>
          <w:rFonts w:ascii="Palatino Linotype" w:hAnsi="Palatino Linotype" w:cs="Arial"/>
        </w:rPr>
        <w:t xml:space="preserve"> resulta procedente entregar la información solicitada en términos del considerando quinto, lo anterior es así, toda vez que se trata de información que debe obrar en sus archivos y que consecuentemente tiene el carácter de información pública.</w:t>
      </w:r>
    </w:p>
    <w:p w:rsidR="00352C44" w:rsidRPr="00D908FB" w:rsidRDefault="00352C44" w:rsidP="00352C44">
      <w:pPr>
        <w:pStyle w:val="NormalWeb"/>
        <w:spacing w:before="240" w:beforeAutospacing="0" w:after="240" w:afterAutospacing="0" w:line="360" w:lineRule="auto"/>
        <w:ind w:right="49"/>
        <w:jc w:val="both"/>
        <w:rPr>
          <w:rFonts w:ascii="Palatino Linotype" w:hAnsi="Palatino Linotype" w:cs="Arial"/>
        </w:rPr>
      </w:pPr>
      <w:r w:rsidRPr="00D908FB">
        <w:rPr>
          <w:rFonts w:ascii="Palatino Linotype" w:hAnsi="Palatino Linotype" w:cs="Arial"/>
        </w:rPr>
        <w:t xml:space="preserve">Ello se afirma así, ya que </w:t>
      </w:r>
      <w:r w:rsidRPr="00D908FB">
        <w:rPr>
          <w:rFonts w:ascii="Palatino Linotype" w:hAnsi="Palatino Linotype"/>
        </w:rPr>
        <w:t>toda la información que generen, administren o posean los Sujetos Obligados en el ejercicio de sus atribuciones tendrá el carácter de información pública y por ende será accesible de manera permanente a cualquier persona en privilegio del principio de máxima publicidad, por lo que se encuentran posibilitados a entregarla cuando se les requiera y obre en su archivos;</w:t>
      </w:r>
      <w:r w:rsidRPr="00D908FB">
        <w:rPr>
          <w:rFonts w:ascii="Palatino Linotype" w:hAnsi="Palatino Linotype" w:cs="Arial"/>
        </w:rPr>
        <w:t xml:space="preserve"> resultando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dispone:</w:t>
      </w:r>
    </w:p>
    <w:p w:rsidR="00352C44" w:rsidRPr="00D908FB" w:rsidRDefault="00352C44" w:rsidP="00352C44">
      <w:pPr>
        <w:autoSpaceDE w:val="0"/>
        <w:autoSpaceDN w:val="0"/>
        <w:adjustRightInd w:val="0"/>
        <w:ind w:left="992" w:right="992"/>
        <w:jc w:val="both"/>
        <w:rPr>
          <w:rFonts w:ascii="Palatino Linotype" w:hAnsi="Palatino Linotype" w:cs="Arial"/>
          <w:b/>
          <w:i/>
          <w:sz w:val="22"/>
          <w:szCs w:val="22"/>
        </w:rPr>
      </w:pPr>
      <w:r w:rsidRPr="00D908FB">
        <w:rPr>
          <w:rFonts w:ascii="Palatino Linotype" w:hAnsi="Palatino Linotype" w:cs="Arial"/>
          <w:sz w:val="22"/>
          <w:szCs w:val="22"/>
        </w:rPr>
        <w:t>“</w:t>
      </w:r>
      <w:r w:rsidRPr="00D908FB">
        <w:rPr>
          <w:rFonts w:ascii="Palatino Linotype" w:hAnsi="Palatino Linotype" w:cs="Arial"/>
          <w:b/>
          <w:i/>
          <w:sz w:val="22"/>
          <w:szCs w:val="22"/>
        </w:rPr>
        <w:t>CRITERIO 0002-11</w:t>
      </w:r>
    </w:p>
    <w:p w:rsidR="00352C44" w:rsidRPr="00D908FB" w:rsidRDefault="00352C44" w:rsidP="00352C44">
      <w:pPr>
        <w:autoSpaceDE w:val="0"/>
        <w:autoSpaceDN w:val="0"/>
        <w:adjustRightInd w:val="0"/>
        <w:ind w:left="992" w:right="992"/>
        <w:jc w:val="both"/>
        <w:rPr>
          <w:rFonts w:ascii="Palatino Linotype" w:hAnsi="Palatino Linotype" w:cs="Arial"/>
          <w:i/>
          <w:sz w:val="22"/>
          <w:szCs w:val="22"/>
        </w:rPr>
      </w:pPr>
      <w:r w:rsidRPr="00D908FB">
        <w:rPr>
          <w:rFonts w:ascii="Palatino Linotype" w:hAnsi="Palatino Linotype" w:cs="Arial"/>
          <w:b/>
          <w:i/>
          <w:sz w:val="22"/>
          <w:szCs w:val="22"/>
        </w:rPr>
        <w:t>INFORMACIÓN PÚBLICA, CONCEPTO DE, EN MATERIA DE TRANSPARENCIA. INTERPRETACIÓN TEMÁTICA DE LOS ARTÍCULOS 2, FRACCIÓN V, XV, Y XVI, 32, 4,11 Y 41.</w:t>
      </w:r>
      <w:r w:rsidRPr="00D908FB">
        <w:rPr>
          <w:rFonts w:ascii="Palatino Linotype" w:hAnsi="Palatino Linotype" w:cs="Arial"/>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352C44" w:rsidRPr="00D908FB" w:rsidRDefault="00352C44" w:rsidP="00352C44">
      <w:pPr>
        <w:autoSpaceDE w:val="0"/>
        <w:autoSpaceDN w:val="0"/>
        <w:adjustRightInd w:val="0"/>
        <w:ind w:left="992" w:right="992"/>
        <w:jc w:val="both"/>
        <w:rPr>
          <w:rFonts w:ascii="Palatino Linotype" w:hAnsi="Palatino Linotype" w:cs="Arial"/>
          <w:i/>
          <w:sz w:val="22"/>
          <w:szCs w:val="22"/>
        </w:rPr>
      </w:pPr>
      <w:r w:rsidRPr="00D908FB">
        <w:rPr>
          <w:rFonts w:ascii="Palatino Linotype" w:hAnsi="Palatino Linotype" w:cs="Arial"/>
          <w:i/>
          <w:sz w:val="22"/>
          <w:szCs w:val="22"/>
        </w:rPr>
        <w:t>En consecuencia el acceso a la información se refiere a que se cumplan cualquiera de los siguientes tres supuestos:</w:t>
      </w:r>
    </w:p>
    <w:p w:rsidR="00352C44" w:rsidRPr="00D908FB" w:rsidRDefault="00352C44" w:rsidP="00352C44">
      <w:pPr>
        <w:numPr>
          <w:ilvl w:val="0"/>
          <w:numId w:val="5"/>
        </w:numPr>
        <w:autoSpaceDE w:val="0"/>
        <w:autoSpaceDN w:val="0"/>
        <w:adjustRightInd w:val="0"/>
        <w:ind w:left="992" w:right="992" w:hanging="567"/>
        <w:jc w:val="both"/>
        <w:rPr>
          <w:rFonts w:ascii="Palatino Linotype" w:hAnsi="Palatino Linotype" w:cs="Arial"/>
          <w:i/>
          <w:sz w:val="22"/>
          <w:szCs w:val="22"/>
        </w:rPr>
      </w:pPr>
      <w:r w:rsidRPr="00D908FB">
        <w:rPr>
          <w:rFonts w:ascii="Palatino Linotype" w:hAnsi="Palatino Linotype" w:cs="Arial"/>
          <w:i/>
          <w:sz w:val="22"/>
          <w:szCs w:val="22"/>
        </w:rPr>
        <w:t>Que se trate de información registrada en cualquier soporte documental, que en ejercicio de las atribuciones conferidas, sea generada por los Sujetos Obligados;</w:t>
      </w:r>
    </w:p>
    <w:p w:rsidR="00352C44" w:rsidRPr="00D908FB" w:rsidRDefault="00352C44" w:rsidP="00352C44">
      <w:pPr>
        <w:numPr>
          <w:ilvl w:val="0"/>
          <w:numId w:val="5"/>
        </w:numPr>
        <w:autoSpaceDE w:val="0"/>
        <w:autoSpaceDN w:val="0"/>
        <w:adjustRightInd w:val="0"/>
        <w:ind w:left="992" w:right="992" w:hanging="567"/>
        <w:jc w:val="both"/>
        <w:rPr>
          <w:rFonts w:ascii="Palatino Linotype" w:hAnsi="Palatino Linotype" w:cs="Arial"/>
          <w:i/>
          <w:sz w:val="22"/>
          <w:szCs w:val="22"/>
        </w:rPr>
      </w:pPr>
      <w:r w:rsidRPr="00D908FB">
        <w:rPr>
          <w:rFonts w:ascii="Palatino Linotype" w:hAnsi="Palatino Linotype" w:cs="Arial"/>
          <w:i/>
          <w:sz w:val="22"/>
          <w:szCs w:val="22"/>
        </w:rPr>
        <w:lastRenderedPageBreak/>
        <w:t>Que se trate de información registrada en cualquier soporte documental, que en ejercicio de las atribuciones conferidas, sea administrada por los Sujetos Obligados, y</w:t>
      </w:r>
    </w:p>
    <w:p w:rsidR="00352C44" w:rsidRPr="00D908FB" w:rsidRDefault="00352C44" w:rsidP="00352C44">
      <w:pPr>
        <w:numPr>
          <w:ilvl w:val="0"/>
          <w:numId w:val="5"/>
        </w:numPr>
        <w:autoSpaceDE w:val="0"/>
        <w:autoSpaceDN w:val="0"/>
        <w:adjustRightInd w:val="0"/>
        <w:ind w:left="992" w:right="992" w:hanging="567"/>
        <w:jc w:val="both"/>
        <w:rPr>
          <w:rFonts w:ascii="Palatino Linotype" w:hAnsi="Palatino Linotype" w:cs="Arial"/>
          <w:i/>
          <w:sz w:val="22"/>
          <w:szCs w:val="22"/>
        </w:rPr>
      </w:pPr>
      <w:r w:rsidRPr="00D908FB">
        <w:rPr>
          <w:rFonts w:ascii="Palatino Linotype" w:hAnsi="Palatino Linotype" w:cs="Arial"/>
          <w:i/>
          <w:sz w:val="22"/>
          <w:szCs w:val="22"/>
        </w:rPr>
        <w:t xml:space="preserve">Que se trate de información registrada en cualquier soporte documental, que en ejercicio de las atribuciones conferidas, se encuentre en posesión de los Sujetos Obligados.” </w:t>
      </w:r>
    </w:p>
    <w:p w:rsidR="00E52E49" w:rsidRPr="00CC13B1" w:rsidRDefault="00E52E49" w:rsidP="00641593">
      <w:pPr>
        <w:ind w:left="851" w:right="851"/>
        <w:jc w:val="both"/>
        <w:rPr>
          <w:rFonts w:ascii="Palatino Linotype" w:hAnsi="Palatino Linotype" w:cs="Arial"/>
          <w:i/>
          <w:iCs/>
          <w:sz w:val="22"/>
          <w:szCs w:val="22"/>
          <w:lang w:eastAsia="es-MX"/>
        </w:rPr>
      </w:pPr>
    </w:p>
    <w:p w:rsidR="00352C44" w:rsidRPr="00352C44" w:rsidRDefault="00352C44" w:rsidP="00352C44">
      <w:pPr>
        <w:autoSpaceDE w:val="0"/>
        <w:autoSpaceDN w:val="0"/>
        <w:adjustRightInd w:val="0"/>
        <w:spacing w:before="240" w:after="240" w:line="360" w:lineRule="auto"/>
        <w:jc w:val="both"/>
        <w:rPr>
          <w:rFonts w:ascii="Palatino Linotype" w:eastAsia="MS Mincho" w:hAnsi="Palatino Linotype" w:cs="Arial"/>
          <w:lang w:val="es-ES_tradnl"/>
        </w:rPr>
      </w:pPr>
      <w:r w:rsidRPr="00352C44">
        <w:rPr>
          <w:rFonts w:ascii="Palatino Linotype" w:eastAsia="MS Mincho" w:hAnsi="Palatino Linotype" w:cs="Arial"/>
        </w:rPr>
        <w:t xml:space="preserve">Finalmente, toda vez que el presente recurso de revisión tuvo como origen la falta de respuesta a la solicitud número </w:t>
      </w:r>
      <w:r w:rsidRPr="00352C44">
        <w:rPr>
          <w:rFonts w:ascii="Palatino Linotype" w:eastAsia="MS Mincho" w:hAnsi="Palatino Linotype" w:cs="Arial"/>
          <w:b/>
        </w:rPr>
        <w:t>00</w:t>
      </w:r>
      <w:r>
        <w:rPr>
          <w:rFonts w:ascii="Palatino Linotype" w:eastAsia="MS Mincho" w:hAnsi="Palatino Linotype" w:cs="Arial"/>
          <w:b/>
        </w:rPr>
        <w:t>023</w:t>
      </w:r>
      <w:r w:rsidRPr="00352C44">
        <w:rPr>
          <w:rFonts w:ascii="Palatino Linotype" w:eastAsia="MS Mincho" w:hAnsi="Palatino Linotype" w:cs="Arial"/>
          <w:b/>
        </w:rPr>
        <w:t>/</w:t>
      </w:r>
      <w:r>
        <w:rPr>
          <w:rFonts w:ascii="Palatino Linotype" w:eastAsia="MS Mincho" w:hAnsi="Palatino Linotype" w:cs="Arial"/>
          <w:b/>
        </w:rPr>
        <w:t>ISIFABE</w:t>
      </w:r>
      <w:r w:rsidRPr="00352C44">
        <w:rPr>
          <w:rFonts w:ascii="Palatino Linotype" w:eastAsia="MS Mincho" w:hAnsi="Palatino Linotype" w:cs="Arial"/>
          <w:b/>
        </w:rPr>
        <w:t>/IP/2018</w:t>
      </w:r>
      <w:r w:rsidRPr="00352C44">
        <w:rPr>
          <w:rFonts w:ascii="Palatino Linotype" w:eastAsia="MS Mincho" w:hAnsi="Palatino Linotype" w:cs="Arial"/>
        </w:rPr>
        <w:t>, en el plazo que tienen los Sujetos Obligados para atender las solicitudes de información que les son formuladas, de conformidad, según lo establece el artículo 163 de la Ley de Transparencia y Acceso a la Información Pública del Estado de México y Municipios; en observancia de los que señala el artículo 222, fracción II de la misma Ley, el Pleno de este Órgano Garante y de conformidad con el artículo 190 de la Ley en cita, ordena se de vista al Titular de la Contraloría Interna y Órgano de Control y Vigilancia de este Instituto a fin de que en ejercicio de sus funciones determine lo conducente. </w:t>
      </w:r>
    </w:p>
    <w:p w:rsidR="0069019E" w:rsidRPr="00A47AFF" w:rsidRDefault="0069019E" w:rsidP="0069019E">
      <w:pPr>
        <w:spacing w:before="240" w:after="240" w:line="360" w:lineRule="auto"/>
        <w:jc w:val="both"/>
        <w:rPr>
          <w:rFonts w:ascii="Palatino Linotype" w:hAnsi="Palatino Linotype" w:cs="Arial"/>
        </w:rPr>
      </w:pPr>
      <w:r w:rsidRPr="00A47AFF">
        <w:rPr>
          <w:rFonts w:ascii="Palatino Linotype" w:hAnsi="Palatino Linotype"/>
          <w:b/>
        </w:rPr>
        <w:t xml:space="preserve">Quinto. Versión Pública. </w:t>
      </w:r>
      <w:r w:rsidRPr="00A47AFF">
        <w:rPr>
          <w:rFonts w:ascii="Palatino Linotype" w:hAnsi="Palatino Linotype"/>
        </w:rPr>
        <w:t xml:space="preserve">Considerando que se </w:t>
      </w:r>
      <w:r w:rsidRPr="00A47AFF">
        <w:rPr>
          <w:rFonts w:ascii="Palatino Linotype" w:hAnsi="Palatino Linotype"/>
          <w:i/>
        </w:rPr>
        <w:t>ORDENA</w:t>
      </w:r>
      <w:r w:rsidRPr="00A47AFF">
        <w:rPr>
          <w:rFonts w:ascii="Palatino Linotype" w:hAnsi="Palatino Linotype"/>
        </w:rPr>
        <w:t xml:space="preserve"> la entrega de la información en versión pública,</w:t>
      </w:r>
      <w:r w:rsidRPr="00A47AFF">
        <w:rPr>
          <w:rFonts w:ascii="Palatino Linotype" w:hAnsi="Palatino Linotype" w:cs="Arial"/>
          <w:bCs/>
        </w:rPr>
        <w:t xml:space="preserve"> resulta oportuno remitirnos a lo dispuesto en los</w:t>
      </w:r>
      <w:r w:rsidRPr="00A47AFF">
        <w:rPr>
          <w:rFonts w:ascii="Palatino Linotype" w:hAnsi="Palatino Linotype" w:cs="Arial"/>
        </w:rPr>
        <w:t xml:space="preserve"> artículos 3, fracciones IX, XX, XXI, XLV; 91, 143 y 146 de la Ley de Transparencia y Acceso a la Información Pública del Estado de México y Municipios que establecen:</w:t>
      </w:r>
    </w:p>
    <w:p w:rsidR="0069019E" w:rsidRPr="00A47AFF" w:rsidRDefault="0069019E" w:rsidP="0069019E">
      <w:pPr>
        <w:pStyle w:val="Prrafodelista"/>
        <w:ind w:left="851" w:right="851"/>
        <w:jc w:val="both"/>
        <w:rPr>
          <w:rFonts w:ascii="Palatino Linotype" w:hAnsi="Palatino Linotype" w:cs="Arial"/>
          <w:bCs/>
          <w:i/>
          <w:noProof/>
        </w:rPr>
      </w:pPr>
      <w:r w:rsidRPr="00A47AFF">
        <w:rPr>
          <w:rFonts w:ascii="Palatino Linotype" w:hAnsi="Palatino Linotype" w:cs="Arial"/>
          <w:b/>
          <w:bCs/>
          <w:i/>
          <w:noProof/>
        </w:rPr>
        <w:t>“Artículo 3.-</w:t>
      </w:r>
      <w:r w:rsidRPr="00A47AFF">
        <w:rPr>
          <w:rFonts w:ascii="Palatino Linotype" w:hAnsi="Palatino Linotype" w:cs="Arial"/>
          <w:bCs/>
          <w:i/>
          <w:noProof/>
        </w:rPr>
        <w:t xml:space="preserve"> Para los efectos de esta Ley, se entenderá por:</w:t>
      </w:r>
    </w:p>
    <w:p w:rsidR="0069019E" w:rsidRPr="00A47AFF" w:rsidRDefault="0069019E" w:rsidP="0069019E">
      <w:pPr>
        <w:pStyle w:val="Prrafodelista"/>
        <w:ind w:left="851" w:right="851"/>
        <w:jc w:val="both"/>
        <w:rPr>
          <w:rFonts w:ascii="Palatino Linotype" w:hAnsi="Palatino Linotype" w:cs="Arial"/>
          <w:bCs/>
          <w:i/>
          <w:noProof/>
        </w:rPr>
      </w:pPr>
      <w:r w:rsidRPr="00A47AFF">
        <w:rPr>
          <w:rFonts w:ascii="Palatino Linotype" w:hAnsi="Palatino Linotype" w:cs="Arial"/>
          <w:bCs/>
          <w:i/>
          <w:noProof/>
        </w:rPr>
        <w:t>(…)</w:t>
      </w:r>
    </w:p>
    <w:p w:rsidR="0069019E" w:rsidRPr="00A47AFF" w:rsidRDefault="0069019E" w:rsidP="0069019E">
      <w:pPr>
        <w:pStyle w:val="Prrafodelista"/>
        <w:ind w:left="851" w:right="851"/>
        <w:jc w:val="both"/>
        <w:rPr>
          <w:rFonts w:ascii="Palatino Linotype" w:hAnsi="Palatino Linotype" w:cs="Arial"/>
          <w:bCs/>
          <w:i/>
          <w:noProof/>
        </w:rPr>
      </w:pPr>
      <w:r w:rsidRPr="00A47AFF">
        <w:rPr>
          <w:rFonts w:ascii="Palatino Linotype" w:hAnsi="Palatino Linotype" w:cs="Arial"/>
          <w:b/>
          <w:bCs/>
          <w:i/>
          <w:noProof/>
        </w:rPr>
        <w:t xml:space="preserve">IX. Datos personales: </w:t>
      </w:r>
      <w:r w:rsidRPr="00A47AFF">
        <w:rPr>
          <w:rFonts w:ascii="Palatino Linotype" w:hAnsi="Palatino Linotype" w:cs="Arial"/>
          <w:bCs/>
          <w:i/>
          <w:noProof/>
        </w:rPr>
        <w:t>La información concerniente a una persona, identificada o identificable según lo dispuesto por la Ley de Protección de Datos Personales del Estado de México;…</w:t>
      </w:r>
    </w:p>
    <w:p w:rsidR="0069019E" w:rsidRPr="00A47AFF" w:rsidRDefault="0069019E" w:rsidP="0069019E">
      <w:pPr>
        <w:pStyle w:val="Prrafodelista"/>
        <w:ind w:left="851" w:right="851"/>
        <w:jc w:val="both"/>
        <w:rPr>
          <w:rFonts w:ascii="Palatino Linotype" w:hAnsi="Palatino Linotype" w:cs="Arial"/>
          <w:b/>
          <w:bCs/>
          <w:i/>
          <w:noProof/>
        </w:rPr>
      </w:pPr>
      <w:r w:rsidRPr="00A47AFF">
        <w:rPr>
          <w:rFonts w:ascii="Palatino Linotype" w:hAnsi="Palatino Linotype" w:cs="Arial"/>
          <w:b/>
          <w:bCs/>
          <w:i/>
          <w:noProof/>
        </w:rPr>
        <w:t xml:space="preserve">XX. </w:t>
      </w:r>
      <w:r w:rsidRPr="00A47AFF">
        <w:rPr>
          <w:rFonts w:ascii="Palatino Linotype" w:hAnsi="Palatino Linotype" w:cs="Arial"/>
          <w:bCs/>
          <w:i/>
          <w:noProof/>
        </w:rPr>
        <w:t>Información clasificada: Aquella considerada por la presente Ley como reservada o confidencial;</w:t>
      </w:r>
    </w:p>
    <w:p w:rsidR="0069019E" w:rsidRPr="00A47AFF" w:rsidRDefault="0069019E" w:rsidP="0069019E">
      <w:pPr>
        <w:pStyle w:val="Prrafodelista"/>
        <w:ind w:left="851" w:right="851"/>
        <w:jc w:val="both"/>
        <w:rPr>
          <w:rFonts w:ascii="Palatino Linotype" w:hAnsi="Palatino Linotype" w:cs="Arial"/>
          <w:bCs/>
          <w:i/>
          <w:noProof/>
        </w:rPr>
      </w:pPr>
      <w:r w:rsidRPr="00A47AFF">
        <w:rPr>
          <w:rFonts w:ascii="Palatino Linotype" w:hAnsi="Palatino Linotype" w:cs="Arial"/>
          <w:b/>
          <w:bCs/>
          <w:i/>
          <w:noProof/>
        </w:rPr>
        <w:lastRenderedPageBreak/>
        <w:t xml:space="preserve">XXI. </w:t>
      </w:r>
      <w:r w:rsidRPr="00A47AFF">
        <w:rPr>
          <w:rFonts w:ascii="Palatino Linotype" w:hAnsi="Palatino Linotype" w:cs="Arial"/>
          <w:bCs/>
          <w:i/>
          <w:noProof/>
        </w:rPr>
        <w:t>Información confidencial: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rsidR="0069019E" w:rsidRPr="00A47AFF" w:rsidRDefault="0069019E" w:rsidP="0069019E">
      <w:pPr>
        <w:pStyle w:val="Prrafodelista"/>
        <w:ind w:left="851" w:right="851"/>
        <w:jc w:val="both"/>
        <w:rPr>
          <w:rFonts w:ascii="Palatino Linotype" w:hAnsi="Palatino Linotype" w:cs="Arial"/>
          <w:b/>
          <w:bCs/>
          <w:i/>
          <w:noProof/>
        </w:rPr>
      </w:pPr>
      <w:r w:rsidRPr="00A47AFF">
        <w:rPr>
          <w:rFonts w:ascii="Palatino Linotype" w:hAnsi="Palatino Linotype" w:cs="Arial"/>
          <w:b/>
          <w:bCs/>
          <w:i/>
          <w:noProof/>
        </w:rPr>
        <w:t xml:space="preserve">XLV. Versión pública: </w:t>
      </w:r>
      <w:r w:rsidRPr="00A47AFF">
        <w:rPr>
          <w:rFonts w:ascii="Palatino Linotype" w:hAnsi="Palatino Linotype" w:cs="Arial"/>
          <w:bCs/>
          <w:i/>
          <w:noProof/>
        </w:rPr>
        <w:t>Documento en el que se elimine, suprime o borra la información clasificada como reservada o confidencial para permitir su acceso.</w:t>
      </w:r>
    </w:p>
    <w:p w:rsidR="0069019E" w:rsidRPr="00A47AFF" w:rsidRDefault="0069019E" w:rsidP="0069019E">
      <w:pPr>
        <w:pStyle w:val="Prrafodelista"/>
        <w:ind w:left="851" w:right="851"/>
        <w:jc w:val="both"/>
        <w:rPr>
          <w:rFonts w:ascii="Palatino Linotype" w:hAnsi="Palatino Linotype" w:cs="Arial"/>
          <w:b/>
          <w:bCs/>
          <w:i/>
          <w:noProof/>
        </w:rPr>
      </w:pPr>
    </w:p>
    <w:p w:rsidR="0069019E" w:rsidRPr="00A47AFF" w:rsidRDefault="0069019E" w:rsidP="0069019E">
      <w:pPr>
        <w:pStyle w:val="Prrafodelista"/>
        <w:ind w:left="851" w:right="851"/>
        <w:jc w:val="both"/>
        <w:rPr>
          <w:rFonts w:ascii="Palatino Linotype" w:hAnsi="Palatino Linotype" w:cs="Arial"/>
          <w:b/>
          <w:bCs/>
          <w:i/>
          <w:noProof/>
        </w:rPr>
      </w:pPr>
      <w:r w:rsidRPr="00A47AFF">
        <w:rPr>
          <w:rFonts w:ascii="Palatino Linotype" w:hAnsi="Palatino Linotype" w:cs="Arial"/>
          <w:b/>
          <w:bCs/>
          <w:i/>
          <w:noProof/>
        </w:rPr>
        <w:t xml:space="preserve">Artículo 91. </w:t>
      </w:r>
      <w:r w:rsidRPr="00A47AFF">
        <w:rPr>
          <w:rFonts w:ascii="Palatino Linotype" w:hAnsi="Palatino Linotype" w:cs="Arial"/>
          <w:bCs/>
          <w:i/>
          <w:noProof/>
        </w:rPr>
        <w:t>El acceso a la información pública será restringido excepcionalmente, cuando ésta sea clasificada como reservada o confidencial.</w:t>
      </w:r>
      <w:r w:rsidRPr="00A47AFF">
        <w:rPr>
          <w:rFonts w:ascii="Palatino Linotype" w:hAnsi="Palatino Linotype" w:cs="Arial"/>
          <w:bCs/>
          <w:i/>
          <w:noProof/>
        </w:rPr>
        <w:cr/>
        <w:t>(…)</w:t>
      </w:r>
    </w:p>
    <w:p w:rsidR="0069019E" w:rsidRPr="00A47AFF" w:rsidRDefault="0069019E" w:rsidP="0069019E">
      <w:pPr>
        <w:pStyle w:val="Sinespaciado"/>
        <w:ind w:left="851" w:right="851"/>
        <w:jc w:val="both"/>
        <w:rPr>
          <w:rFonts w:ascii="Palatino Linotype" w:eastAsia="Calibri" w:hAnsi="Palatino Linotype" w:cs="Arial"/>
          <w:bCs/>
          <w:i/>
          <w:noProof/>
          <w:sz w:val="22"/>
          <w:szCs w:val="22"/>
          <w:lang w:val="es-ES"/>
        </w:rPr>
      </w:pPr>
      <w:r w:rsidRPr="00A47AFF">
        <w:rPr>
          <w:rFonts w:ascii="Palatino Linotype" w:eastAsia="Calibri" w:hAnsi="Palatino Linotype" w:cs="Arial"/>
          <w:b/>
          <w:bCs/>
          <w:i/>
          <w:noProof/>
          <w:sz w:val="22"/>
          <w:szCs w:val="22"/>
          <w:lang w:val="es-ES"/>
        </w:rPr>
        <w:t xml:space="preserve">Artículo 143. </w:t>
      </w:r>
      <w:r w:rsidRPr="00A47AFF">
        <w:rPr>
          <w:rFonts w:ascii="Palatino Linotype" w:eastAsia="Calibri" w:hAnsi="Palatino Linotype" w:cs="Arial"/>
          <w:bCs/>
          <w:i/>
          <w:noProof/>
          <w:sz w:val="22"/>
          <w:szCs w:val="22"/>
          <w:lang w:val="es-ES"/>
        </w:rPr>
        <w:t>Para los efectos de esta Ley se considera información confidencial, la clasificada como tal, de manera permanente, por su naturaleza, cuando:</w:t>
      </w:r>
    </w:p>
    <w:p w:rsidR="0069019E" w:rsidRPr="00A47AFF" w:rsidRDefault="0069019E" w:rsidP="0069019E">
      <w:pPr>
        <w:pStyle w:val="Sinespaciado"/>
        <w:ind w:left="851" w:right="851"/>
        <w:jc w:val="both"/>
        <w:rPr>
          <w:rFonts w:ascii="Palatino Linotype" w:eastAsia="Calibri" w:hAnsi="Palatino Linotype" w:cs="Arial"/>
          <w:bCs/>
          <w:i/>
          <w:noProof/>
          <w:sz w:val="22"/>
          <w:szCs w:val="22"/>
          <w:lang w:val="es-ES"/>
        </w:rPr>
      </w:pPr>
      <w:r w:rsidRPr="00A47AFF">
        <w:rPr>
          <w:rFonts w:ascii="Palatino Linotype" w:eastAsia="Calibri" w:hAnsi="Palatino Linotype" w:cs="Arial"/>
          <w:bCs/>
          <w:i/>
          <w:noProof/>
          <w:sz w:val="22"/>
          <w:szCs w:val="22"/>
          <w:lang w:val="es-ES"/>
        </w:rPr>
        <w:t>I. Se refiera a la información privada y los datos personales concernientes a una persona física o jurídico colectiva identificada o identificable;</w:t>
      </w:r>
    </w:p>
    <w:p w:rsidR="0069019E" w:rsidRPr="00A47AFF" w:rsidRDefault="0069019E" w:rsidP="0069019E">
      <w:pPr>
        <w:pStyle w:val="Sinespaciado"/>
        <w:ind w:left="851" w:right="851"/>
        <w:jc w:val="both"/>
        <w:rPr>
          <w:rFonts w:ascii="Palatino Linotype" w:eastAsia="Calibri" w:hAnsi="Palatino Linotype" w:cs="Arial"/>
          <w:bCs/>
          <w:i/>
          <w:noProof/>
          <w:sz w:val="22"/>
          <w:szCs w:val="22"/>
          <w:lang w:val="es-ES"/>
        </w:rPr>
      </w:pPr>
      <w:r w:rsidRPr="00A47AFF">
        <w:rPr>
          <w:rFonts w:ascii="Palatino Linotype" w:eastAsia="Calibri" w:hAnsi="Palatino Linotype" w:cs="Arial"/>
          <w:bCs/>
          <w:i/>
          <w:noProof/>
          <w:sz w:val="22"/>
          <w:szCs w:val="22"/>
          <w:lang w:val="es-ES"/>
        </w:rPr>
        <w:t>II. Los secretos bancario, fiduciario, industrial, comercial, fiscal, bursátil y postal, cuya titularidad corresponda a particulares, sujetos de derecho internacional o a sujetos obligados cuando no involucren el ejercicio de recursos públicos; y</w:t>
      </w:r>
    </w:p>
    <w:p w:rsidR="0069019E" w:rsidRPr="00A47AFF" w:rsidRDefault="0069019E" w:rsidP="0069019E">
      <w:pPr>
        <w:pStyle w:val="Sinespaciado"/>
        <w:ind w:left="851" w:right="851"/>
        <w:jc w:val="both"/>
        <w:rPr>
          <w:rFonts w:ascii="Palatino Linotype" w:eastAsia="Calibri" w:hAnsi="Palatino Linotype" w:cs="Arial"/>
          <w:bCs/>
          <w:i/>
          <w:noProof/>
          <w:sz w:val="22"/>
          <w:szCs w:val="22"/>
          <w:lang w:val="es-ES"/>
        </w:rPr>
      </w:pPr>
      <w:r w:rsidRPr="00A47AFF">
        <w:rPr>
          <w:rFonts w:ascii="Palatino Linotype" w:eastAsia="Calibri" w:hAnsi="Palatino Linotype" w:cs="Arial"/>
          <w:bCs/>
          <w:i/>
          <w:noProof/>
          <w:sz w:val="22"/>
          <w:szCs w:val="22"/>
          <w:lang w:val="es-ES"/>
        </w:rPr>
        <w:t>III. La que presenten los particulares a los sujetos obligados, de conformidad con lo dispuesto por las leyes o los tratados internacionales.</w:t>
      </w:r>
    </w:p>
    <w:p w:rsidR="0069019E" w:rsidRPr="00A47AFF" w:rsidRDefault="0069019E" w:rsidP="0069019E">
      <w:pPr>
        <w:pStyle w:val="Sinespaciado"/>
        <w:ind w:left="851" w:right="851"/>
        <w:jc w:val="both"/>
        <w:rPr>
          <w:rFonts w:ascii="Palatino Linotype" w:eastAsia="Calibri" w:hAnsi="Palatino Linotype" w:cs="Arial"/>
          <w:bCs/>
          <w:i/>
          <w:noProof/>
          <w:sz w:val="22"/>
          <w:szCs w:val="22"/>
          <w:lang w:val="es-ES"/>
        </w:rPr>
      </w:pPr>
      <w:r w:rsidRPr="00A47AFF">
        <w:rPr>
          <w:rFonts w:ascii="Palatino Linotype" w:eastAsia="Calibri" w:hAnsi="Palatino Linotype" w:cs="Arial"/>
          <w:bCs/>
          <w:i/>
          <w:noProof/>
          <w:sz w:val="22"/>
          <w:szCs w:val="22"/>
          <w:lang w:val="es-ES"/>
        </w:rPr>
        <w:t>La información confidencial no estará sujeta a temporalidad alguna y sólo podrán tener acceso a ella los titulares de la misma, sus representantes y los servidores públicos facultados para ello.</w:t>
      </w:r>
    </w:p>
    <w:p w:rsidR="0069019E" w:rsidRPr="00A47AFF" w:rsidRDefault="0069019E" w:rsidP="0069019E">
      <w:pPr>
        <w:pStyle w:val="Sinespaciado"/>
        <w:ind w:left="851" w:right="851"/>
        <w:jc w:val="both"/>
        <w:rPr>
          <w:rFonts w:ascii="Palatino Linotype" w:eastAsia="Calibri" w:hAnsi="Palatino Linotype" w:cs="Arial"/>
          <w:bCs/>
          <w:i/>
          <w:noProof/>
          <w:sz w:val="22"/>
          <w:szCs w:val="22"/>
          <w:lang w:val="es-ES"/>
        </w:rPr>
      </w:pPr>
      <w:r w:rsidRPr="00A47AFF">
        <w:rPr>
          <w:rFonts w:ascii="Palatino Linotype" w:eastAsia="Calibri" w:hAnsi="Palatino Linotype" w:cs="Arial"/>
          <w:bCs/>
          <w:i/>
          <w:noProof/>
          <w:sz w:val="22"/>
          <w:szCs w:val="22"/>
          <w:lang w:val="es-ES"/>
        </w:rPr>
        <w:t>No se considerará confidencial la información que se encuentre en los registros públicos o en fuentes de acceso público, ni tampoco la que sea considerada por la presente ley como información pública.</w:t>
      </w:r>
    </w:p>
    <w:p w:rsidR="0069019E" w:rsidRPr="00A47AFF" w:rsidRDefault="0069019E" w:rsidP="0069019E">
      <w:pPr>
        <w:pStyle w:val="Sinespaciado"/>
        <w:ind w:left="851" w:right="851"/>
        <w:jc w:val="both"/>
        <w:rPr>
          <w:rFonts w:ascii="Palatino Linotype" w:eastAsia="Calibri" w:hAnsi="Palatino Linotype" w:cs="Arial"/>
          <w:b/>
          <w:bCs/>
          <w:i/>
          <w:noProof/>
          <w:sz w:val="22"/>
          <w:szCs w:val="22"/>
          <w:lang w:val="es-ES"/>
        </w:rPr>
      </w:pPr>
    </w:p>
    <w:p w:rsidR="0069019E" w:rsidRPr="00A47AFF" w:rsidRDefault="0069019E" w:rsidP="0069019E">
      <w:pPr>
        <w:pStyle w:val="Sinespaciado"/>
        <w:ind w:left="851" w:right="851"/>
        <w:jc w:val="both"/>
        <w:rPr>
          <w:rFonts w:ascii="Palatino Linotype" w:eastAsia="Calibri" w:hAnsi="Palatino Linotype" w:cs="Arial"/>
          <w:b/>
          <w:bCs/>
          <w:i/>
          <w:noProof/>
          <w:sz w:val="22"/>
          <w:szCs w:val="22"/>
          <w:lang w:val="es-ES"/>
        </w:rPr>
      </w:pPr>
      <w:r w:rsidRPr="00A47AFF">
        <w:rPr>
          <w:rFonts w:ascii="Palatino Linotype" w:eastAsia="Calibri" w:hAnsi="Palatino Linotype" w:cs="Arial"/>
          <w:b/>
          <w:bCs/>
          <w:i/>
          <w:noProof/>
          <w:sz w:val="22"/>
          <w:szCs w:val="22"/>
          <w:lang w:val="es-ES"/>
        </w:rPr>
        <w:t xml:space="preserve">Artículo 146. </w:t>
      </w:r>
      <w:r w:rsidRPr="00A47AFF">
        <w:rPr>
          <w:rFonts w:ascii="Palatino Linotype" w:eastAsia="Calibri" w:hAnsi="Palatino Linotype" w:cs="Arial"/>
          <w:bCs/>
          <w:i/>
          <w:noProof/>
          <w:sz w:val="22"/>
          <w:szCs w:val="22"/>
          <w:lang w:val="es-ES"/>
        </w:rPr>
        <w:t>Los sujetos obligados que se constituyan como contribuyentes o como autoridades en materia tributaria, no podrán clasificar la información relativa al ejercicio de recursos públicos como secreto fiscal.</w:t>
      </w:r>
      <w:r w:rsidRPr="00A47AFF">
        <w:rPr>
          <w:rFonts w:ascii="Palatino Linotype" w:eastAsia="Calibri" w:hAnsi="Palatino Linotype" w:cs="Arial"/>
          <w:b/>
          <w:bCs/>
          <w:i/>
          <w:noProof/>
          <w:sz w:val="22"/>
          <w:szCs w:val="22"/>
          <w:lang w:val="es-ES"/>
        </w:rPr>
        <w:t xml:space="preserve"> </w:t>
      </w:r>
    </w:p>
    <w:p w:rsidR="0069019E" w:rsidRPr="00A47AFF" w:rsidRDefault="0069019E" w:rsidP="0069019E">
      <w:pPr>
        <w:pStyle w:val="Sinespaciado"/>
        <w:ind w:left="851" w:right="851"/>
        <w:jc w:val="both"/>
        <w:rPr>
          <w:rFonts w:ascii="Palatino Linotype" w:hAnsi="Palatino Linotype" w:cs="Arial"/>
          <w:i/>
          <w:sz w:val="22"/>
          <w:szCs w:val="22"/>
        </w:rPr>
      </w:pPr>
      <w:r w:rsidRPr="00A47AFF">
        <w:rPr>
          <w:rFonts w:ascii="Palatino Linotype" w:hAnsi="Palatino Linotype" w:cs="Arial"/>
          <w:i/>
          <w:sz w:val="22"/>
          <w:szCs w:val="22"/>
        </w:rPr>
        <w:t>(Énfasis añadido)</w:t>
      </w:r>
    </w:p>
    <w:p w:rsidR="0069019E" w:rsidRPr="00A47AFF" w:rsidRDefault="0069019E" w:rsidP="0069019E">
      <w:pPr>
        <w:pStyle w:val="Sinespaciado"/>
        <w:spacing w:before="240" w:after="240" w:line="360" w:lineRule="auto"/>
        <w:jc w:val="both"/>
        <w:rPr>
          <w:rFonts w:ascii="Palatino Linotype" w:hAnsi="Palatino Linotype" w:cs="Arial"/>
          <w:sz w:val="22"/>
        </w:rPr>
      </w:pPr>
      <w:r w:rsidRPr="00A47AFF">
        <w:rPr>
          <w:rFonts w:ascii="Palatino Linotype" w:hAnsi="Palatino Linotype" w:cs="Arial"/>
        </w:rPr>
        <w:t xml:space="preserve">De los dispositivos legales citados, se desprende que el derecho de acceso a la información pública tiene como limitante el respeto a la intimidad y a la vida privada de las personas, es por ello que este Instituto debe cuidar que los datos personales que obren en poder de los Sujetos Obligados </w:t>
      </w:r>
      <w:r w:rsidRPr="00A47AFF">
        <w:rPr>
          <w:rFonts w:ascii="Palatino Linotype" w:eastAsia="Calibri" w:hAnsi="Palatino Linotype" w:cs="Arial"/>
          <w:lang w:val="es-ES"/>
        </w:rPr>
        <w:t xml:space="preserve">estén </w:t>
      </w:r>
      <w:r w:rsidRPr="00A47AFF">
        <w:rPr>
          <w:rFonts w:ascii="Palatino Linotype" w:hAnsi="Palatino Linotype" w:cs="Arial"/>
        </w:rPr>
        <w:t xml:space="preserve">protegidos, quienes deberán adoptar las medidas de seguridad administrativa, física y técnica necesarias para garantizar la integridad, confidencialidad y disponibilidad de los datos personales, </w:t>
      </w:r>
      <w:r w:rsidRPr="00A47AFF">
        <w:rPr>
          <w:rFonts w:ascii="Palatino Linotype" w:hAnsi="Palatino Linotype" w:cs="Arial"/>
        </w:rPr>
        <w:lastRenderedPageBreak/>
        <w:t xml:space="preserve">considerando además, que conforme al principio de finalidad todo tratamiento de datos personales que efectúen los sujetos obligados deberá estar justificado en la Ley, lo anterior en términos de lo dispuesto por el artículo 14 con relación con el 58 de la Ley de Protección de Datos Personales del Estado de México. </w:t>
      </w:r>
    </w:p>
    <w:p w:rsidR="0069019E" w:rsidRPr="00A47AFF" w:rsidRDefault="0069019E" w:rsidP="0069019E">
      <w:pPr>
        <w:pStyle w:val="Sinespaciado"/>
        <w:spacing w:before="240" w:after="240" w:line="360" w:lineRule="auto"/>
        <w:jc w:val="both"/>
        <w:rPr>
          <w:rFonts w:ascii="Palatino Linotype" w:hAnsi="Palatino Linotype" w:cs="Arial"/>
        </w:rPr>
      </w:pPr>
      <w:r w:rsidRPr="00A47AFF">
        <w:rPr>
          <w:rFonts w:ascii="Palatino Linotype" w:hAnsi="Palatino Linotype" w:cs="Arial"/>
        </w:rPr>
        <w:t>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w:t>
      </w:r>
    </w:p>
    <w:p w:rsidR="0069019E" w:rsidRPr="00A47AFF" w:rsidRDefault="0069019E" w:rsidP="0069019E">
      <w:pPr>
        <w:pStyle w:val="Sinespaciado"/>
        <w:spacing w:before="240" w:after="240" w:line="360" w:lineRule="auto"/>
        <w:jc w:val="both"/>
        <w:rPr>
          <w:rFonts w:ascii="Palatino Linotype" w:hAnsi="Palatino Linotype" w:cs="Arial"/>
        </w:rPr>
      </w:pPr>
      <w:r w:rsidRPr="00A47AFF">
        <w:rPr>
          <w:rFonts w:ascii="Palatino Linotype" w:hAnsi="Palatino Linotype" w:cs="Arial"/>
        </w:rPr>
        <w:t xml:space="preserve">Así, los LINEAMIENTOS GENERALES EN MATERIA DE CLASIFICACIÓN Y DESCLASIFICACIÓN DE LA INFORMACIÓN, ASÍ COMO PARA LA ELABORACIÓN DE VERSIONES PÚBLICAS, emitidos por el Consejo Nacional de Transparencia, señalan la forma para la realización de las versiones públicas. </w:t>
      </w:r>
    </w:p>
    <w:p w:rsidR="0069019E" w:rsidRPr="00A47AFF" w:rsidRDefault="0069019E" w:rsidP="0069019E">
      <w:pPr>
        <w:pStyle w:val="Sinespaciado"/>
        <w:spacing w:before="240" w:after="240" w:line="360" w:lineRule="auto"/>
        <w:jc w:val="both"/>
        <w:rPr>
          <w:rFonts w:ascii="Palatino Linotype" w:hAnsi="Palatino Linotype" w:cs="Arial"/>
        </w:rPr>
      </w:pPr>
      <w:r w:rsidRPr="00A47AFF">
        <w:rPr>
          <w:rFonts w:ascii="Palatino Linotype" w:hAnsi="Palatino Linotype" w:cs="Arial"/>
        </w:rPr>
        <w:t xml:space="preserve">En el caso específico, la información solicitada que puede contenerse en los recibos o comprobantes de pago, si bien contienen las remuneraciones de los servidores públicos adscritos al sujeto obligado que son de acceso público, tal como quedo acotado en el cuerpo de la presente Resolución, también contienen los datos personales de éstos, que de hacerse públicos afectarían su intimidad y vida privada; es por ello que es criterio reiterado en las resoluciones de este Pleno que además de los datos especificados en la Ley de Transparencia y Acceso a la Información Pública del Estado de México y Municipios, se consideran confidenciales y por tanto deben testarse al momento de la elaboración de versiones públicas el </w:t>
      </w:r>
      <w:r w:rsidRPr="00A47AFF">
        <w:rPr>
          <w:rFonts w:ascii="Palatino Linotype" w:hAnsi="Palatino Linotype" w:cs="Arial"/>
          <w:b/>
        </w:rPr>
        <w:t>Registro Federal de Contribuyentes</w:t>
      </w:r>
      <w:r w:rsidRPr="00A47AFF">
        <w:rPr>
          <w:rFonts w:ascii="Palatino Linotype" w:hAnsi="Palatino Linotype" w:cs="Arial"/>
        </w:rPr>
        <w:t xml:space="preserve"> (RFC), la </w:t>
      </w:r>
      <w:r w:rsidRPr="00A47AFF">
        <w:rPr>
          <w:rFonts w:ascii="Palatino Linotype" w:hAnsi="Palatino Linotype" w:cs="Arial"/>
          <w:b/>
        </w:rPr>
        <w:t>Clave Única de Registro de Población</w:t>
      </w:r>
      <w:r w:rsidRPr="00A47AFF">
        <w:rPr>
          <w:rFonts w:ascii="Palatino Linotype" w:hAnsi="Palatino Linotype" w:cs="Arial"/>
        </w:rPr>
        <w:t xml:space="preserve"> (CURP), la </w:t>
      </w:r>
      <w:r w:rsidRPr="00A47AFF">
        <w:rPr>
          <w:rFonts w:ascii="Palatino Linotype" w:hAnsi="Palatino Linotype" w:cs="Arial"/>
          <w:b/>
        </w:rPr>
        <w:t>Clave de cualquier tipo de seguridad social</w:t>
      </w:r>
      <w:r w:rsidRPr="00A47AFF">
        <w:rPr>
          <w:rFonts w:ascii="Palatino Linotype" w:hAnsi="Palatino Linotype" w:cs="Arial"/>
        </w:rPr>
        <w:t xml:space="preserve"> (ISSEMYM, u otros), así como, los </w:t>
      </w:r>
      <w:r w:rsidRPr="00A47AFF">
        <w:rPr>
          <w:rFonts w:ascii="Palatino Linotype" w:hAnsi="Palatino Linotype" w:cs="Arial"/>
          <w:b/>
        </w:rPr>
        <w:t xml:space="preserve">préstamos </w:t>
      </w:r>
      <w:r w:rsidRPr="00A47AFF">
        <w:rPr>
          <w:rFonts w:ascii="Palatino Linotype" w:hAnsi="Palatino Linotype" w:cs="Arial"/>
          <w:b/>
        </w:rPr>
        <w:lastRenderedPageBreak/>
        <w:t>o descuentos</w:t>
      </w:r>
      <w:r w:rsidRPr="00A47AFF">
        <w:rPr>
          <w:rFonts w:ascii="Palatino Linotype" w:hAnsi="Palatino Linotype" w:cs="Arial"/>
        </w:rPr>
        <w:t xml:space="preserve"> que se le hagan a la persona y que no tengan relación con los impuestos o la cuota por seguridad social.</w:t>
      </w:r>
    </w:p>
    <w:p w:rsidR="0069019E" w:rsidRPr="00A47AFF" w:rsidRDefault="0069019E" w:rsidP="0069019E">
      <w:pPr>
        <w:autoSpaceDE w:val="0"/>
        <w:autoSpaceDN w:val="0"/>
        <w:adjustRightInd w:val="0"/>
        <w:spacing w:before="240" w:after="240" w:line="360" w:lineRule="auto"/>
        <w:jc w:val="both"/>
        <w:rPr>
          <w:rFonts w:ascii="Palatino Linotype" w:hAnsi="Palatino Linotype" w:cs="Arial"/>
        </w:rPr>
      </w:pPr>
      <w:r w:rsidRPr="00A47AFF">
        <w:rPr>
          <w:rFonts w:ascii="Palatino Linotype" w:hAnsi="Palatino Linotype" w:cs="Arial"/>
          <w:lang w:eastAsia="es-MX"/>
        </w:rPr>
        <w:t>En cuanto al Registro Federal de Contribuyentes constituye un dato personal, ya que para su obtención es necesario acreditar ante la autoridad fiscal previamente la identidad de la persona, su fecha de nacimiento, entre otros aspectos.</w:t>
      </w:r>
    </w:p>
    <w:p w:rsidR="0069019E" w:rsidRPr="00A47AFF" w:rsidRDefault="0069019E" w:rsidP="0069019E">
      <w:pPr>
        <w:spacing w:before="240" w:after="240" w:line="360" w:lineRule="auto"/>
        <w:jc w:val="both"/>
        <w:rPr>
          <w:rFonts w:ascii="Palatino Linotype" w:hAnsi="Palatino Linotype" w:cs="Arial"/>
          <w:lang w:eastAsia="es-MX"/>
        </w:rPr>
      </w:pPr>
      <w:r w:rsidRPr="00A47AFF">
        <w:rPr>
          <w:rFonts w:ascii="Palatino Linotype" w:hAnsi="Palatino Linotype" w:cs="Arial"/>
          <w:lang w:eastAsia="es-MX"/>
        </w:rPr>
        <w:t>Ahora bien, las personas físicas tramitan su inscripción en el registro con el propósito de realizar —mediante esa clave de identificación— operaciones o actividades de naturaleza fiscal, la cual, les permite hacerse identificables respecto de una situación fiscal determinada.</w:t>
      </w:r>
    </w:p>
    <w:p w:rsidR="0069019E" w:rsidRPr="00A47AFF" w:rsidRDefault="0069019E" w:rsidP="0069019E">
      <w:pPr>
        <w:spacing w:before="240" w:after="240" w:line="360" w:lineRule="auto"/>
        <w:jc w:val="both"/>
        <w:rPr>
          <w:rFonts w:ascii="Palatino Linotype" w:hAnsi="Palatino Linotype" w:cs="Arial"/>
          <w:lang w:eastAsia="es-MX"/>
        </w:rPr>
      </w:pPr>
      <w:r w:rsidRPr="00A47AFF">
        <w:rPr>
          <w:rFonts w:ascii="Palatino Linotype" w:hAnsi="Palatino Linotype" w:cs="Arial"/>
          <w:lang w:eastAsia="es-MX"/>
        </w:rPr>
        <w:t>Lo anterior es compartido por el entonces Instituto Nacional de Transparencia, Acceso a la Información y Protección de Datos Personales (INAI) a través del Criterio 19/17, el cual es del tenor literal siguiente:</w:t>
      </w:r>
    </w:p>
    <w:p w:rsidR="0069019E" w:rsidRPr="00186301" w:rsidRDefault="0069019E" w:rsidP="0069019E">
      <w:pPr>
        <w:autoSpaceDE w:val="0"/>
        <w:autoSpaceDN w:val="0"/>
        <w:adjustRightInd w:val="0"/>
        <w:spacing w:before="240" w:after="240"/>
        <w:ind w:left="851" w:right="900"/>
        <w:jc w:val="both"/>
        <w:rPr>
          <w:rFonts w:ascii="Palatino Linotype" w:hAnsi="Palatino Linotype" w:cs="Arial"/>
          <w:i/>
          <w:sz w:val="23"/>
          <w:szCs w:val="23"/>
        </w:rPr>
      </w:pPr>
      <w:r w:rsidRPr="00186301">
        <w:rPr>
          <w:rFonts w:ascii="Palatino Linotype" w:hAnsi="Palatino Linotype" w:cs="Arial"/>
          <w:b/>
          <w:bCs/>
          <w:i/>
          <w:sz w:val="23"/>
          <w:szCs w:val="23"/>
        </w:rPr>
        <w:t xml:space="preserve">“Registro Federal de Contribuyentes (RFC) de personas físicas. </w:t>
      </w:r>
      <w:r w:rsidRPr="00186301">
        <w:rPr>
          <w:rFonts w:ascii="Palatino Linotype" w:hAnsi="Palatino Linotype" w:cs="Arial"/>
          <w:bCs/>
          <w:i/>
          <w:sz w:val="23"/>
          <w:szCs w:val="23"/>
        </w:rPr>
        <w:t>E</w:t>
      </w:r>
      <w:r w:rsidRPr="00186301">
        <w:rPr>
          <w:rFonts w:ascii="Palatino Linotype" w:hAnsi="Palatino Linotype" w:cs="Arial"/>
          <w:i/>
          <w:sz w:val="23"/>
          <w:szCs w:val="23"/>
        </w:rPr>
        <w:t>l RFC es una clave de carácter fiscal, única e irrepetible, que permite identificar al titular, su edad y fecha de nacimiento, por lo que es un dato personal de carácter confidencial.”</w:t>
      </w:r>
      <w:r w:rsidRPr="00186301">
        <w:rPr>
          <w:rFonts w:ascii="Palatino Linotype" w:hAnsi="Palatino Linotype" w:cs="Arial"/>
          <w:bCs/>
          <w:i/>
          <w:sz w:val="23"/>
          <w:szCs w:val="23"/>
        </w:rPr>
        <w:t xml:space="preserve"> (Sic)</w:t>
      </w:r>
    </w:p>
    <w:p w:rsidR="0069019E" w:rsidRPr="00A47AFF" w:rsidRDefault="0069019E" w:rsidP="0069019E">
      <w:pPr>
        <w:spacing w:before="240" w:after="240" w:line="360" w:lineRule="auto"/>
        <w:jc w:val="both"/>
        <w:rPr>
          <w:rFonts w:ascii="Palatino Linotype" w:hAnsi="Palatino Linotype" w:cs="Arial"/>
          <w:lang w:val="es-MX" w:eastAsia="es-MX"/>
        </w:rPr>
      </w:pPr>
      <w:r w:rsidRPr="00A47AFF">
        <w:rPr>
          <w:rFonts w:ascii="Palatino Linotype" w:hAnsi="Palatino Linotype" w:cs="Arial"/>
          <w:lang w:val="es-MX" w:eastAsia="es-MX"/>
        </w:rPr>
        <w:t xml:space="preserve">Así, el RFC se vincula al nombre de su titular y permite identificar la edad de la persona, su fecha de nacimiento, así como su </w:t>
      </w:r>
      <w:proofErr w:type="spellStart"/>
      <w:r w:rsidRPr="00A47AFF">
        <w:rPr>
          <w:rFonts w:ascii="Palatino Linotype" w:hAnsi="Palatino Linotype" w:cs="Arial"/>
          <w:lang w:val="es-MX" w:eastAsia="es-MX"/>
        </w:rPr>
        <w:t>homoclave</w:t>
      </w:r>
      <w:proofErr w:type="spellEnd"/>
      <w:r w:rsidRPr="00A47AFF">
        <w:rPr>
          <w:rFonts w:ascii="Palatino Linotype" w:hAnsi="Palatino Linotype" w:cs="Arial"/>
          <w:lang w:val="es-MX" w:eastAsia="es-MX"/>
        </w:rPr>
        <w:t>, la cual es única e irrepetible y determina la identificación de dicha persona para efectos fiscales, por lo que constituye un dato personal que concierne a una persona física identificada e identificable en términos de los artículos 3, fracción IX de la Ley de Transparencia y Acceso a la Información Pública del Estado de México y Municipios y 4 fracción VII de la Ley de Protección de Datos Personales del Estado de México.</w:t>
      </w:r>
    </w:p>
    <w:p w:rsidR="0069019E" w:rsidRPr="00A47AFF" w:rsidRDefault="0069019E" w:rsidP="0069019E">
      <w:pPr>
        <w:spacing w:before="240" w:after="240" w:line="360" w:lineRule="auto"/>
        <w:jc w:val="both"/>
        <w:rPr>
          <w:rFonts w:ascii="Palatino Linotype" w:hAnsi="Palatino Linotype" w:cs="Arial"/>
          <w:lang w:val="es-MX" w:eastAsia="es-MX"/>
        </w:rPr>
      </w:pPr>
      <w:r w:rsidRPr="00A47AFF">
        <w:rPr>
          <w:rFonts w:ascii="Palatino Linotype" w:hAnsi="Palatino Linotype" w:cs="Arial"/>
          <w:lang w:val="es-MX" w:eastAsia="es-MX"/>
        </w:rPr>
        <w:lastRenderedPageBreak/>
        <w:t xml:space="preserve">En cuanto a la </w:t>
      </w:r>
      <w:r w:rsidRPr="00A47AFF">
        <w:rPr>
          <w:rFonts w:ascii="Palatino Linotype" w:hAnsi="Palatino Linotype" w:cs="Arial"/>
          <w:lang w:val="es-MX"/>
        </w:rPr>
        <w:t xml:space="preserve">CURP en virtud de que éste se </w:t>
      </w:r>
      <w:r w:rsidRPr="00A47AFF">
        <w:rPr>
          <w:rFonts w:ascii="Palatino Linotype" w:hAnsi="Palatino Linotype" w:cs="Arial"/>
          <w:lang w:val="es-MX" w:eastAsia="es-MX"/>
        </w:rPr>
        <w:t>integra por datos personales que únicamente le conciernen a un particular como son su fecha de nacimiento, su nombre, sus apellidos y su lugar de nacimiento; información que permite distinguirlo del resto de los habitantes, se considera que es de carácter confidencial.</w:t>
      </w:r>
    </w:p>
    <w:p w:rsidR="0069019E" w:rsidRPr="00A47AFF" w:rsidRDefault="0069019E" w:rsidP="0069019E">
      <w:pPr>
        <w:spacing w:before="240" w:after="240" w:line="360" w:lineRule="auto"/>
        <w:jc w:val="both"/>
        <w:rPr>
          <w:rFonts w:ascii="Palatino Linotype" w:hAnsi="Palatino Linotype" w:cs="Arial"/>
        </w:rPr>
      </w:pPr>
      <w:r w:rsidRPr="00A47AFF">
        <w:rPr>
          <w:rFonts w:ascii="Palatino Linotype" w:hAnsi="Palatino Linotype" w:cs="Arial"/>
        </w:rPr>
        <w:t xml:space="preserve">Argumento que es compartido por el entonces </w:t>
      </w:r>
      <w:r w:rsidRPr="00A47AFF">
        <w:rPr>
          <w:rFonts w:ascii="Palatino Linotype" w:hAnsi="Palatino Linotype" w:cs="Arial"/>
          <w:lang w:eastAsia="es-MX"/>
        </w:rPr>
        <w:t>Instituto Nacional de Transparencia, Acceso a la Información y Protección de Datos Personales (INAI)</w:t>
      </w:r>
      <w:r w:rsidRPr="00A47AFF">
        <w:rPr>
          <w:rFonts w:ascii="Palatino Linotype" w:hAnsi="Palatino Linotype" w:cs="Arial"/>
          <w:bCs/>
        </w:rPr>
        <w:t xml:space="preserve">, conforme al </w:t>
      </w:r>
      <w:r w:rsidRPr="00A47AFF">
        <w:rPr>
          <w:rFonts w:ascii="Palatino Linotype" w:hAnsi="Palatino Linotype" w:cs="Arial"/>
        </w:rPr>
        <w:t xml:space="preserve">criterio número 18/17, el cual refiere: </w:t>
      </w:r>
    </w:p>
    <w:p w:rsidR="0069019E" w:rsidRPr="00186301" w:rsidRDefault="0069019E" w:rsidP="0069019E">
      <w:pPr>
        <w:pStyle w:val="Default"/>
        <w:spacing w:before="120" w:after="120"/>
        <w:ind w:left="851" w:right="900"/>
        <w:jc w:val="both"/>
        <w:rPr>
          <w:rFonts w:ascii="Palatino Linotype" w:hAnsi="Palatino Linotype"/>
          <w:b/>
          <w:i/>
          <w:color w:val="auto"/>
          <w:sz w:val="23"/>
          <w:szCs w:val="23"/>
        </w:rPr>
      </w:pPr>
      <w:r w:rsidRPr="00186301">
        <w:rPr>
          <w:rFonts w:ascii="Palatino Linotype" w:hAnsi="Palatino Linotype"/>
          <w:b/>
          <w:bCs/>
          <w:i/>
          <w:color w:val="auto"/>
          <w:sz w:val="23"/>
          <w:szCs w:val="23"/>
          <w:lang w:eastAsia="es-MX"/>
        </w:rPr>
        <w:t>“</w:t>
      </w:r>
      <w:r w:rsidRPr="00186301">
        <w:rPr>
          <w:rFonts w:ascii="Palatino Linotype" w:hAnsi="Palatino Linotype"/>
          <w:b/>
          <w:bCs/>
          <w:i/>
          <w:color w:val="auto"/>
          <w:sz w:val="23"/>
          <w:szCs w:val="23"/>
        </w:rPr>
        <w:t xml:space="preserve">Clave Única de Registro de Población (CURP). </w:t>
      </w:r>
      <w:r w:rsidRPr="00186301">
        <w:rPr>
          <w:rFonts w:ascii="Palatino Linotype" w:hAnsi="Palatino Linotype"/>
          <w:bCs/>
          <w:i/>
          <w:color w:val="auto"/>
          <w:sz w:val="23"/>
          <w:szCs w:val="23"/>
        </w:rPr>
        <w:t xml:space="preserve">La </w:t>
      </w:r>
      <w:r w:rsidRPr="00186301">
        <w:rPr>
          <w:rFonts w:ascii="Palatino Linotype" w:hAnsi="Palatino Linotype"/>
          <w:i/>
          <w:color w:val="auto"/>
          <w:sz w:val="23"/>
          <w:szCs w:val="23"/>
        </w:rPr>
        <w:t>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r w:rsidRPr="00186301">
        <w:rPr>
          <w:rFonts w:ascii="Palatino Linotype" w:hAnsi="Palatino Linotype"/>
          <w:i/>
          <w:color w:val="auto"/>
          <w:sz w:val="23"/>
          <w:szCs w:val="23"/>
          <w:lang w:eastAsia="es-MX"/>
        </w:rPr>
        <w:t>” (Sic)</w:t>
      </w:r>
    </w:p>
    <w:p w:rsidR="0069019E" w:rsidRPr="00A47AFF" w:rsidRDefault="0069019E" w:rsidP="0069019E">
      <w:pPr>
        <w:autoSpaceDE w:val="0"/>
        <w:autoSpaceDN w:val="0"/>
        <w:adjustRightInd w:val="0"/>
        <w:spacing w:before="240" w:after="240" w:line="360" w:lineRule="auto"/>
        <w:jc w:val="both"/>
        <w:rPr>
          <w:rFonts w:ascii="Palatino Linotype" w:hAnsi="Palatino Linotype" w:cs="Arial"/>
        </w:rPr>
      </w:pPr>
      <w:r w:rsidRPr="00A47AFF">
        <w:rPr>
          <w:rFonts w:ascii="Palatino Linotype" w:hAnsi="Palatino Linotype" w:cs="Arial"/>
        </w:rPr>
        <w:t>Por lo que respecta a la clave de seguridad social, en virtud de que su divulgación no aporta a la transparencia o a la rendición de cuentas y sí provoca una transgresión a la vida privada e intimidad de la persona, esta información también resulta ser de carácter confidencial.</w:t>
      </w:r>
    </w:p>
    <w:p w:rsidR="0069019E" w:rsidRPr="00A47AFF" w:rsidRDefault="0069019E" w:rsidP="0069019E">
      <w:pPr>
        <w:spacing w:before="240" w:after="240" w:line="360" w:lineRule="auto"/>
        <w:jc w:val="both"/>
        <w:rPr>
          <w:rFonts w:ascii="Palatino Linotype" w:hAnsi="Palatino Linotype" w:cs="Arial"/>
        </w:rPr>
      </w:pPr>
      <w:r w:rsidRPr="00A47AFF">
        <w:rPr>
          <w:rFonts w:ascii="Palatino Linotype" w:hAnsi="Palatino Linotype" w:cs="Arial"/>
        </w:rPr>
        <w:t>Respecto de los números de cuentas bancarias, claves estandarizadas –interbancarias- (CLABES) y de tarjetas, el Pleno de este Instituto ha determinado que esa información debe clasificarse como confidencial, y elaborarse una versión pública en la que se teste la misma.</w:t>
      </w:r>
    </w:p>
    <w:p w:rsidR="0069019E" w:rsidRPr="00A47AFF" w:rsidRDefault="0069019E" w:rsidP="0069019E">
      <w:pPr>
        <w:pStyle w:val="Sinespaciado"/>
        <w:spacing w:before="240" w:after="240" w:line="360" w:lineRule="auto"/>
        <w:jc w:val="both"/>
        <w:rPr>
          <w:rFonts w:ascii="Palatino Linotype" w:hAnsi="Palatino Linotype" w:cs="Arial"/>
        </w:rPr>
      </w:pPr>
      <w:r w:rsidRPr="00A47AFF">
        <w:rPr>
          <w:rFonts w:ascii="Palatino Linotype" w:hAnsi="Palatino Linotype" w:cs="Arial"/>
        </w:rPr>
        <w:t xml:space="preserve">Esto es así, ya que el número de cuenta bancaria se trata de información que sólo su titular o personas autorizadas poseen, entre otros elementos, para el acceso o </w:t>
      </w:r>
      <w:r w:rsidRPr="00A47AFF">
        <w:rPr>
          <w:rFonts w:ascii="Palatino Linotype" w:hAnsi="Palatino Linotype" w:cs="Arial"/>
        </w:rPr>
        <w:lastRenderedPageBreak/>
        <w:t>consulta de información patrimonial, así como para la realización de operaciones bancarias de diversa índole, por lo que su difusión facilitaría a cualquier persona interesada en afectar el patrimonio del titular de la cuenta, y que además se pudieran realizar conductas tendientes a tal fin y tipificadas como delitos, con lo que se ocasionaría un serio perjuicio a su titular.</w:t>
      </w:r>
    </w:p>
    <w:p w:rsidR="0069019E" w:rsidRPr="00A47AFF" w:rsidRDefault="0069019E" w:rsidP="0069019E">
      <w:pPr>
        <w:pStyle w:val="Sinespaciado"/>
        <w:spacing w:before="240" w:after="240" w:line="360" w:lineRule="auto"/>
        <w:jc w:val="both"/>
        <w:rPr>
          <w:rFonts w:ascii="Palatino Linotype" w:hAnsi="Palatino Linotype" w:cs="Arial"/>
        </w:rPr>
      </w:pPr>
      <w:r w:rsidRPr="00A47AFF">
        <w:rPr>
          <w:rFonts w:ascii="Palatino Linotype" w:hAnsi="Palatino Linotype" w:cs="Arial"/>
        </w:rPr>
        <w:t>Por lo anterior, el número de cuenta bancaria debe ser información confidencial en términos del artículo 143 de la Ley de Transparencia y Acceso a la Información Pública del Estado de México y Municipios, en razón de que con su difusión se estaría revelando información de una persona física o jurídica colectiva.</w:t>
      </w:r>
    </w:p>
    <w:p w:rsidR="0069019E" w:rsidRPr="00A47AFF" w:rsidRDefault="0069019E" w:rsidP="0069019E">
      <w:pPr>
        <w:pStyle w:val="Sinespaciado"/>
        <w:spacing w:before="240" w:after="240" w:line="360" w:lineRule="auto"/>
        <w:jc w:val="both"/>
        <w:rPr>
          <w:rFonts w:ascii="Palatino Linotype" w:hAnsi="Palatino Linotype" w:cs="Arial"/>
        </w:rPr>
      </w:pPr>
      <w:r w:rsidRPr="00A47AFF">
        <w:rPr>
          <w:rFonts w:ascii="Palatino Linotype" w:hAnsi="Palatino Linotype" w:cs="Arial"/>
        </w:rPr>
        <w:t xml:space="preserve">Corolario a lo anterior, la publicidad de los números de cuenta bancarios en nada contribuye a la rendición de cuentas o a la transparencia de la gestión gubernamental, sino por el contrario, dar a conocerlos hace vulnerable a su titular ya sea proveedor o bien el Sujeto Obligado, al abrir la posibilidad de que terceros que cuenten con las posibilidades tecnológicas y/o económicas puedan realizar actos ilícitos mediante operaciones cibernéticas. </w:t>
      </w:r>
    </w:p>
    <w:p w:rsidR="0069019E" w:rsidRPr="00A47AFF" w:rsidRDefault="0069019E" w:rsidP="0069019E">
      <w:pPr>
        <w:pStyle w:val="Sinespaciado"/>
        <w:spacing w:before="240" w:after="240" w:line="360" w:lineRule="auto"/>
        <w:jc w:val="both"/>
        <w:rPr>
          <w:rFonts w:ascii="Palatino Linotype" w:hAnsi="Palatino Linotype" w:cs="Arial"/>
        </w:rPr>
      </w:pPr>
      <w:r w:rsidRPr="00A47AFF">
        <w:rPr>
          <w:rFonts w:ascii="Palatino Linotype" w:hAnsi="Palatino Linotype" w:cs="Arial"/>
        </w:rPr>
        <w:t xml:space="preserve">En esa virtud, este Pleno determina que dicha información no puede ser del dominio público, toda vez que se podría dar un uso inadecuado a la misma o cometer algún ilícito o fraude como ya ha sido expuesto. </w:t>
      </w:r>
    </w:p>
    <w:p w:rsidR="0069019E" w:rsidRPr="00A47AFF" w:rsidRDefault="0069019E" w:rsidP="0069019E">
      <w:pPr>
        <w:spacing w:before="240" w:after="240" w:line="360" w:lineRule="auto"/>
        <w:jc w:val="both"/>
        <w:rPr>
          <w:rFonts w:ascii="Palatino Linotype" w:hAnsi="Palatino Linotype" w:cs="Arial"/>
          <w:b/>
        </w:rPr>
      </w:pPr>
      <w:r w:rsidRPr="00A47AFF">
        <w:rPr>
          <w:rFonts w:ascii="Palatino Linotype" w:hAnsi="Palatino Linotype" w:cs="Arial"/>
        </w:rPr>
        <w:t>De este modo, en las versiones públicas de las facturas que se ordena su entrega se deben testar únicamente los números de las cuentas bancarias, CLABES; si es que se desprende esta información; en caso contrario, los documentos deben entregarse en forma íntegra.</w:t>
      </w:r>
    </w:p>
    <w:p w:rsidR="0069019E" w:rsidRPr="00A47AFF" w:rsidRDefault="0069019E" w:rsidP="0069019E">
      <w:pPr>
        <w:pStyle w:val="Sinespaciado"/>
        <w:spacing w:before="240" w:after="240" w:line="360" w:lineRule="auto"/>
        <w:jc w:val="both"/>
        <w:rPr>
          <w:rFonts w:ascii="Palatino Linotype" w:hAnsi="Palatino Linotype" w:cs="Arial"/>
        </w:rPr>
      </w:pPr>
      <w:r w:rsidRPr="00A47AFF">
        <w:rPr>
          <w:rFonts w:ascii="Palatino Linotype" w:hAnsi="Palatino Linotype" w:cs="Arial"/>
        </w:rPr>
        <w:lastRenderedPageBreak/>
        <w:t>Respecto de los préstamos o descuentos de carácter personal, en virtud de no tener relación con la prestación del servicio y al no involucrar instituciones públicas, se consideran datos confidenciales.</w:t>
      </w:r>
    </w:p>
    <w:p w:rsidR="0069019E" w:rsidRPr="00A47AFF" w:rsidRDefault="0069019E" w:rsidP="0069019E">
      <w:pPr>
        <w:pStyle w:val="Sinespaciado"/>
        <w:spacing w:before="240" w:after="240" w:line="360" w:lineRule="auto"/>
        <w:jc w:val="both"/>
        <w:rPr>
          <w:rFonts w:ascii="Palatino Linotype" w:hAnsi="Palatino Linotype" w:cs="Arial"/>
        </w:rPr>
      </w:pPr>
      <w:r w:rsidRPr="00A47AFF">
        <w:rPr>
          <w:rFonts w:ascii="Palatino Linotype" w:hAnsi="Palatino Linotype" w:cs="Arial"/>
        </w:rPr>
        <w:t>Para entender los límites y alcances de esta restricción, es oportuno recurrir al artículo 84 de la Ley del Trabajo de los Servidores Públicos del Estado y Municipios:</w:t>
      </w:r>
    </w:p>
    <w:p w:rsidR="0069019E" w:rsidRPr="00186301" w:rsidRDefault="0069019E" w:rsidP="0069019E">
      <w:pPr>
        <w:ind w:left="1134" w:right="1134"/>
        <w:jc w:val="both"/>
        <w:rPr>
          <w:rFonts w:ascii="Palatino Linotype" w:hAnsi="Palatino Linotype" w:cs="Arial"/>
          <w:b/>
          <w:bCs/>
          <w:i/>
          <w:noProof/>
          <w:sz w:val="23"/>
          <w:szCs w:val="23"/>
        </w:rPr>
      </w:pPr>
      <w:r w:rsidRPr="00186301">
        <w:rPr>
          <w:rFonts w:ascii="Palatino Linotype" w:hAnsi="Palatino Linotype" w:cs="Arial"/>
          <w:b/>
          <w:bCs/>
          <w:i/>
          <w:noProof/>
          <w:sz w:val="23"/>
          <w:szCs w:val="23"/>
        </w:rPr>
        <w:t xml:space="preserve">“ARTÍCULO 84. </w:t>
      </w:r>
      <w:r w:rsidRPr="00186301">
        <w:rPr>
          <w:rFonts w:ascii="Palatino Linotype" w:hAnsi="Palatino Linotype" w:cs="Arial"/>
          <w:bCs/>
          <w:i/>
          <w:noProof/>
          <w:sz w:val="23"/>
          <w:szCs w:val="23"/>
        </w:rPr>
        <w:t>Sólo podrán hacerse retenciones, descuentos o deducciones al sueldo de los servidores públicos por concepto de:</w:t>
      </w:r>
    </w:p>
    <w:p w:rsidR="0069019E" w:rsidRPr="00186301" w:rsidRDefault="0069019E" w:rsidP="0069019E">
      <w:pPr>
        <w:ind w:left="1134" w:right="1134"/>
        <w:jc w:val="both"/>
        <w:rPr>
          <w:rFonts w:ascii="Palatino Linotype" w:hAnsi="Palatino Linotype" w:cs="Arial"/>
          <w:bCs/>
          <w:i/>
          <w:noProof/>
          <w:sz w:val="23"/>
          <w:szCs w:val="23"/>
        </w:rPr>
      </w:pPr>
      <w:r w:rsidRPr="00186301">
        <w:rPr>
          <w:rFonts w:ascii="Palatino Linotype" w:hAnsi="Palatino Linotype" w:cs="Arial"/>
          <w:bCs/>
          <w:i/>
          <w:noProof/>
          <w:sz w:val="23"/>
          <w:szCs w:val="23"/>
        </w:rPr>
        <w:t>I. Gravámenes fiscales relacionados con el sueldo;</w:t>
      </w:r>
    </w:p>
    <w:p w:rsidR="0069019E" w:rsidRPr="00186301" w:rsidRDefault="0069019E" w:rsidP="0069019E">
      <w:pPr>
        <w:ind w:left="1134" w:right="1134"/>
        <w:jc w:val="both"/>
        <w:rPr>
          <w:rFonts w:ascii="Palatino Linotype" w:hAnsi="Palatino Linotype" w:cs="Arial"/>
          <w:bCs/>
          <w:i/>
          <w:noProof/>
          <w:sz w:val="23"/>
          <w:szCs w:val="23"/>
        </w:rPr>
      </w:pPr>
      <w:r w:rsidRPr="00186301">
        <w:rPr>
          <w:rFonts w:ascii="Palatino Linotype" w:hAnsi="Palatino Linotype" w:cs="Arial"/>
          <w:bCs/>
          <w:i/>
          <w:noProof/>
          <w:sz w:val="23"/>
          <w:szCs w:val="23"/>
        </w:rPr>
        <w:t>II. Deudas contraídas con las instituciones públicas o dependencias por concepto de anticipos de sueldo, pagos hechos con exceso, errores o pérdidas debidamente comprobados;</w:t>
      </w:r>
    </w:p>
    <w:p w:rsidR="0069019E" w:rsidRPr="00186301" w:rsidRDefault="0069019E" w:rsidP="0069019E">
      <w:pPr>
        <w:ind w:left="1134" w:right="1134"/>
        <w:jc w:val="both"/>
        <w:rPr>
          <w:rFonts w:ascii="Palatino Linotype" w:hAnsi="Palatino Linotype" w:cs="Arial"/>
          <w:bCs/>
          <w:i/>
          <w:noProof/>
          <w:sz w:val="23"/>
          <w:szCs w:val="23"/>
        </w:rPr>
      </w:pPr>
      <w:r w:rsidRPr="00186301">
        <w:rPr>
          <w:rFonts w:ascii="Palatino Linotype" w:hAnsi="Palatino Linotype" w:cs="Arial"/>
          <w:bCs/>
          <w:i/>
          <w:noProof/>
          <w:sz w:val="23"/>
          <w:szCs w:val="23"/>
        </w:rPr>
        <w:t>III. Cuotas sindicales;</w:t>
      </w:r>
    </w:p>
    <w:p w:rsidR="0069019E" w:rsidRPr="00186301" w:rsidRDefault="0069019E" w:rsidP="0069019E">
      <w:pPr>
        <w:ind w:left="1134" w:right="1134"/>
        <w:jc w:val="both"/>
        <w:rPr>
          <w:rFonts w:ascii="Palatino Linotype" w:hAnsi="Palatino Linotype" w:cs="Arial"/>
          <w:bCs/>
          <w:i/>
          <w:noProof/>
          <w:sz w:val="23"/>
          <w:szCs w:val="23"/>
        </w:rPr>
      </w:pPr>
      <w:r w:rsidRPr="00186301">
        <w:rPr>
          <w:rFonts w:ascii="Palatino Linotype" w:hAnsi="Palatino Linotype" w:cs="Arial"/>
          <w:bCs/>
          <w:i/>
          <w:noProof/>
          <w:sz w:val="23"/>
          <w:szCs w:val="23"/>
        </w:rPr>
        <w:t>IV. Cuotas de aportación a fondos para la constitución de cooperativas y de cajas de ahorro, siempre que el servidor público hubiese manifestado previamente, de manera expresa, su conformidad;</w:t>
      </w:r>
    </w:p>
    <w:p w:rsidR="0069019E" w:rsidRPr="00186301" w:rsidRDefault="0069019E" w:rsidP="0069019E">
      <w:pPr>
        <w:ind w:left="1134" w:right="1134"/>
        <w:jc w:val="both"/>
        <w:rPr>
          <w:rFonts w:ascii="Palatino Linotype" w:hAnsi="Palatino Linotype" w:cs="Arial"/>
          <w:bCs/>
          <w:i/>
          <w:noProof/>
          <w:sz w:val="23"/>
          <w:szCs w:val="23"/>
        </w:rPr>
      </w:pPr>
      <w:r w:rsidRPr="00186301">
        <w:rPr>
          <w:rFonts w:ascii="Palatino Linotype" w:hAnsi="Palatino Linotype" w:cs="Arial"/>
          <w:bCs/>
          <w:i/>
          <w:noProof/>
          <w:sz w:val="23"/>
          <w:szCs w:val="23"/>
        </w:rPr>
        <w:t>V. Descuentos ordenados por el Instituto de Seguridad Social del Estado de México y Municipios, con motivo de cuotas y obligaciones contraídas con éste por los servidores públicos;</w:t>
      </w:r>
    </w:p>
    <w:p w:rsidR="0069019E" w:rsidRPr="00186301" w:rsidRDefault="0069019E" w:rsidP="0069019E">
      <w:pPr>
        <w:ind w:left="1134" w:right="1134"/>
        <w:jc w:val="both"/>
        <w:rPr>
          <w:rFonts w:ascii="Palatino Linotype" w:hAnsi="Palatino Linotype" w:cs="Arial"/>
          <w:bCs/>
          <w:i/>
          <w:noProof/>
          <w:sz w:val="23"/>
          <w:szCs w:val="23"/>
        </w:rPr>
      </w:pPr>
      <w:r w:rsidRPr="00186301">
        <w:rPr>
          <w:rFonts w:ascii="Palatino Linotype" w:hAnsi="Palatino Linotype" w:cs="Arial"/>
          <w:bCs/>
          <w:i/>
          <w:noProof/>
          <w:sz w:val="23"/>
          <w:szCs w:val="23"/>
        </w:rPr>
        <w:t>VI. Obligaciones a cargo del servidor público con las que haya consentido, derivadas de la adquisición o del uso de habitaciones consideradas como de interés social;</w:t>
      </w:r>
    </w:p>
    <w:p w:rsidR="0069019E" w:rsidRPr="00186301" w:rsidRDefault="0069019E" w:rsidP="0069019E">
      <w:pPr>
        <w:ind w:left="1134" w:right="1134"/>
        <w:jc w:val="both"/>
        <w:rPr>
          <w:rFonts w:ascii="Palatino Linotype" w:hAnsi="Palatino Linotype" w:cs="Arial"/>
          <w:bCs/>
          <w:i/>
          <w:noProof/>
          <w:sz w:val="23"/>
          <w:szCs w:val="23"/>
        </w:rPr>
      </w:pPr>
      <w:r w:rsidRPr="00186301">
        <w:rPr>
          <w:rFonts w:ascii="Palatino Linotype" w:hAnsi="Palatino Linotype" w:cs="Arial"/>
          <w:bCs/>
          <w:i/>
          <w:noProof/>
          <w:sz w:val="23"/>
          <w:szCs w:val="23"/>
        </w:rPr>
        <w:t>VII. Faltas de puntualidad o de asistencia injustificadas;</w:t>
      </w:r>
    </w:p>
    <w:p w:rsidR="0069019E" w:rsidRPr="00186301" w:rsidRDefault="0069019E" w:rsidP="0069019E">
      <w:pPr>
        <w:ind w:left="1134" w:right="1134"/>
        <w:jc w:val="both"/>
        <w:rPr>
          <w:rFonts w:ascii="Palatino Linotype" w:hAnsi="Palatino Linotype" w:cs="Arial"/>
          <w:bCs/>
          <w:i/>
          <w:noProof/>
          <w:sz w:val="23"/>
          <w:szCs w:val="23"/>
        </w:rPr>
      </w:pPr>
      <w:r w:rsidRPr="00186301">
        <w:rPr>
          <w:rFonts w:ascii="Palatino Linotype" w:hAnsi="Palatino Linotype" w:cs="Arial"/>
          <w:b/>
          <w:bCs/>
          <w:i/>
          <w:noProof/>
          <w:sz w:val="23"/>
          <w:szCs w:val="23"/>
        </w:rPr>
        <w:t>VIII. Pensiones alimenticias ordenadas por la autoridad judicial;</w:t>
      </w:r>
      <w:r w:rsidRPr="00186301">
        <w:rPr>
          <w:rFonts w:ascii="Palatino Linotype" w:hAnsi="Palatino Linotype" w:cs="Arial"/>
          <w:bCs/>
          <w:i/>
          <w:noProof/>
          <w:sz w:val="23"/>
          <w:szCs w:val="23"/>
        </w:rPr>
        <w:t xml:space="preserve"> o</w:t>
      </w:r>
    </w:p>
    <w:p w:rsidR="0069019E" w:rsidRPr="00186301" w:rsidRDefault="0069019E" w:rsidP="0069019E">
      <w:pPr>
        <w:ind w:left="1134" w:right="1134"/>
        <w:jc w:val="both"/>
        <w:rPr>
          <w:rFonts w:ascii="Palatino Linotype" w:hAnsi="Palatino Linotype" w:cs="Arial"/>
          <w:b/>
          <w:bCs/>
          <w:i/>
          <w:noProof/>
          <w:sz w:val="23"/>
          <w:szCs w:val="23"/>
        </w:rPr>
      </w:pPr>
      <w:r w:rsidRPr="00186301">
        <w:rPr>
          <w:rFonts w:ascii="Palatino Linotype" w:hAnsi="Palatino Linotype" w:cs="Arial"/>
          <w:b/>
          <w:bCs/>
          <w:i/>
          <w:noProof/>
          <w:sz w:val="23"/>
          <w:szCs w:val="23"/>
        </w:rPr>
        <w:t>IX. Cualquier otro convenido con instituciones de servicios y aceptado por el servidor público.</w:t>
      </w:r>
    </w:p>
    <w:p w:rsidR="0069019E" w:rsidRPr="00186301" w:rsidRDefault="0069019E" w:rsidP="0069019E">
      <w:pPr>
        <w:ind w:left="1134" w:right="1134"/>
        <w:jc w:val="both"/>
        <w:rPr>
          <w:rFonts w:ascii="Palatino Linotype" w:hAnsi="Palatino Linotype" w:cs="Arial"/>
          <w:bCs/>
          <w:i/>
          <w:noProof/>
          <w:sz w:val="23"/>
          <w:szCs w:val="23"/>
        </w:rPr>
      </w:pPr>
      <w:r w:rsidRPr="00186301">
        <w:rPr>
          <w:rFonts w:ascii="Palatino Linotype" w:hAnsi="Palatino Linotype" w:cs="Arial"/>
          <w:bCs/>
          <w:i/>
          <w:noProof/>
          <w:sz w:val="23"/>
          <w:szCs w:val="23"/>
        </w:rPr>
        <w:t>El monto total de las retenciones, descuentos o deducciones no podrá exceder del 30% de la remuneración total, excepto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ajustará a lo determinado por la autoridad judicial.” (Sic)</w:t>
      </w:r>
    </w:p>
    <w:p w:rsidR="0069019E" w:rsidRPr="00186301" w:rsidRDefault="0069019E" w:rsidP="0069019E">
      <w:pPr>
        <w:ind w:left="1134" w:right="1134"/>
        <w:jc w:val="both"/>
        <w:rPr>
          <w:rFonts w:ascii="Palatino Linotype" w:hAnsi="Palatino Linotype" w:cs="Arial"/>
          <w:i/>
          <w:sz w:val="23"/>
          <w:szCs w:val="23"/>
        </w:rPr>
      </w:pPr>
      <w:r w:rsidRPr="00186301">
        <w:rPr>
          <w:rFonts w:ascii="Palatino Linotype" w:hAnsi="Palatino Linotype" w:cs="Arial"/>
          <w:i/>
          <w:sz w:val="23"/>
          <w:szCs w:val="23"/>
        </w:rPr>
        <w:lastRenderedPageBreak/>
        <w:t>(Énfasis añadido)</w:t>
      </w:r>
    </w:p>
    <w:p w:rsidR="0069019E" w:rsidRPr="00A47AFF" w:rsidRDefault="0069019E" w:rsidP="0069019E">
      <w:pPr>
        <w:pStyle w:val="Sinespaciado"/>
        <w:spacing w:before="240" w:after="240" w:line="360" w:lineRule="auto"/>
        <w:jc w:val="both"/>
        <w:rPr>
          <w:rFonts w:ascii="Palatino Linotype" w:hAnsi="Palatino Linotype" w:cs="Arial"/>
        </w:rPr>
      </w:pPr>
      <w:r w:rsidRPr="00A47AFF">
        <w:rPr>
          <w:rFonts w:ascii="Palatino Linotype" w:hAnsi="Palatino Linotype" w:cs="Arial"/>
        </w:rPr>
        <w:t>Como se puede observar, la Ley del Trabajo de mérito establece claramente cuáles son esos descuentos o gravámenes que directamente se relacionan con las obligaciones adquiridas como servidores públicos y aquéllos que únicamente inciden en su vida privada. De este modo, descuentos por pensiones alimenticias o créditos adquiridos con instituciones privadas que no se relacionen con el gasto público, son información que debe clasificarse como confidencial.</w:t>
      </w:r>
    </w:p>
    <w:p w:rsidR="0069019E" w:rsidRPr="00A47AFF" w:rsidRDefault="0069019E" w:rsidP="0069019E">
      <w:pPr>
        <w:spacing w:before="240" w:after="240" w:line="360" w:lineRule="auto"/>
        <w:jc w:val="both"/>
        <w:rPr>
          <w:rFonts w:ascii="Palatino Linotype" w:hAnsi="Palatino Linotype" w:cs="Arial"/>
        </w:rPr>
      </w:pPr>
      <w:r w:rsidRPr="00A47AFF">
        <w:rPr>
          <w:rFonts w:ascii="Palatino Linotype" w:hAnsi="Palatino Linotype" w:cs="Arial"/>
        </w:rPr>
        <w:t>Correlativo a ello, en la versión pública de los recibos de nómina se deben testar aquellos elementos señalados en la presente resolución, en el entendido de que debe ser pública toda la demás información relacionada que no encuadre en los conceptos anteriores.</w:t>
      </w:r>
    </w:p>
    <w:p w:rsidR="0069019E" w:rsidRPr="00A47AFF" w:rsidRDefault="0069019E" w:rsidP="0069019E">
      <w:pPr>
        <w:spacing w:before="240" w:after="240" w:line="360" w:lineRule="auto"/>
        <w:jc w:val="both"/>
        <w:rPr>
          <w:rFonts w:ascii="Palatino Linotype" w:hAnsi="Palatino Linotype" w:cs="Arial"/>
        </w:rPr>
      </w:pPr>
      <w:r w:rsidRPr="00A47AFF">
        <w:rPr>
          <w:rFonts w:ascii="Palatino Linotype" w:hAnsi="Palatino Linotype" w:cs="Arial"/>
        </w:rPr>
        <w:t xml:space="preserve">Al respecto, se destaca que la versión pública que elabore el Sujeto Obligado debe cumplir con las formalidades exigidas en la Ley, por lo que </w:t>
      </w:r>
      <w:r w:rsidRPr="00A47AFF">
        <w:rPr>
          <w:rFonts w:ascii="Palatino Linotype" w:hAnsi="Palatino Linotype" w:cs="Arial"/>
          <w:lang w:val="es-ES_tradnl"/>
        </w:rPr>
        <w:t xml:space="preserve">para tal efecto emitirá el </w:t>
      </w:r>
      <w:r w:rsidRPr="00A47AFF">
        <w:rPr>
          <w:rFonts w:ascii="Palatino Linotype" w:hAnsi="Palatino Linotype" w:cs="Arial"/>
          <w:lang w:eastAsia="es-MX"/>
        </w:rPr>
        <w:t xml:space="preserve">Acuerdo del Comité de Transparencia en términos de la </w:t>
      </w:r>
      <w:r w:rsidRPr="00A47AFF">
        <w:rPr>
          <w:rFonts w:ascii="Palatino Linotype" w:hAnsi="Palatino Linotype" w:cs="Arial"/>
        </w:rPr>
        <w:t>Ley de Transparencia y Acceso a la Información Pública del Estado de México y los Lineamientos Generales en Materia de Clasificación y Desclasificación de la Información, Así Como Para la Elaboración de Versiones Públicas emitidos por el Consejo Nacional de Transparencia, con el cual sustentara la clasificación de datos y con ello la "versión pública" de los documentos materia de la solicitud</w:t>
      </w:r>
      <w:r w:rsidRPr="00A47AFF">
        <w:rPr>
          <w:rFonts w:ascii="Palatino Linotype" w:hAnsi="Palatino Linotype" w:cs="Arial"/>
          <w:shd w:val="clear" w:color="auto" w:fill="FFFFFF"/>
        </w:rPr>
        <w:t>.</w:t>
      </w:r>
    </w:p>
    <w:p w:rsidR="0069019E" w:rsidRPr="00A47AFF" w:rsidRDefault="0069019E" w:rsidP="0069019E">
      <w:pPr>
        <w:autoSpaceDE w:val="0"/>
        <w:autoSpaceDN w:val="0"/>
        <w:adjustRightInd w:val="0"/>
        <w:spacing w:before="240" w:after="240" w:line="360" w:lineRule="auto"/>
        <w:jc w:val="both"/>
        <w:rPr>
          <w:rFonts w:ascii="Palatino Linotype" w:hAnsi="Palatino Linotype" w:cs="Arial"/>
        </w:rPr>
      </w:pPr>
      <w:r w:rsidRPr="00A47AFF">
        <w:rPr>
          <w:rFonts w:ascii="Palatino Linotype" w:hAnsi="Palatino Linotype" w:cs="Arial"/>
        </w:rPr>
        <w:t>Efectivamente, cuando se clasifica información como confidencial o reservada es importante someterlo al Comité de Transparencia, quien debe confirmar, modificar o revocar la clasificación.</w:t>
      </w:r>
    </w:p>
    <w:p w:rsidR="0069019E" w:rsidRPr="00A47AFF" w:rsidRDefault="0069019E" w:rsidP="0069019E">
      <w:pPr>
        <w:spacing w:before="240" w:after="240" w:line="360" w:lineRule="auto"/>
        <w:jc w:val="both"/>
        <w:rPr>
          <w:rFonts w:ascii="Palatino Linotype" w:hAnsi="Palatino Linotype" w:cs="Arial"/>
          <w:lang w:eastAsia="es-CO"/>
        </w:rPr>
      </w:pPr>
      <w:r w:rsidRPr="00A47AFF">
        <w:rPr>
          <w:rFonts w:ascii="Palatino Linotype" w:hAnsi="Palatino Linotype" w:cs="Arial"/>
          <w:lang w:eastAsia="es-CO"/>
        </w:rPr>
        <w:lastRenderedPageBreak/>
        <w:t>Por lo tanto, la entrega de documentos en su versión pública debe acompañarse necesariamente del Acuerdo del Comité de Transparencia que la sustente el cual debe estar debidamente fundado y motivado, en el que se expongan los fundamentos y razonamientos que llevaron al sujeto obligado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rsidR="0069019E" w:rsidRPr="00A47AFF" w:rsidRDefault="0069019E" w:rsidP="0069019E">
      <w:pPr>
        <w:spacing w:before="240" w:after="240" w:line="360" w:lineRule="auto"/>
        <w:jc w:val="both"/>
        <w:rPr>
          <w:rFonts w:ascii="Palatino Linotype" w:hAnsi="Palatino Linotype" w:cs="Arial"/>
        </w:rPr>
      </w:pPr>
      <w:r w:rsidRPr="00A47AFF">
        <w:rPr>
          <w:rFonts w:ascii="Palatino Linotype" w:hAnsi="Palatino Linotype" w:cs="Arial"/>
        </w:rPr>
        <w:t>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suprima aquella información relacionada con la vida privada de los servidores públicos.</w:t>
      </w:r>
    </w:p>
    <w:p w:rsidR="0069019E" w:rsidRPr="00A47AFF" w:rsidRDefault="0069019E" w:rsidP="0069019E">
      <w:pPr>
        <w:pStyle w:val="Sinespaciado"/>
        <w:spacing w:before="240" w:after="240" w:line="360" w:lineRule="auto"/>
        <w:jc w:val="both"/>
        <w:rPr>
          <w:rFonts w:ascii="Palatino Linotype" w:hAnsi="Palatino Linotype" w:cs="Arial"/>
        </w:rPr>
      </w:pPr>
      <w:r w:rsidRPr="00A47AFF">
        <w:rPr>
          <w:rFonts w:ascii="Palatino Linotype" w:hAnsi="Palatino Linotype" w:cs="Arial"/>
        </w:rPr>
        <w:t>Por ende, resulta necesario que el Comité de Transparencia del Sujeto Obligado emita el Acuerdo de Clasificación correspondiente que sustente la versión pública, el cual deberá cumplir cabalmente las formalidades previstas en el artículo 137 de la Ley de Transparencia y Acceso a la Información Pública del Estado de México y Municipios, así como los numerales aplicables de los LINEAMIENTOS GENERALES EN MATERIA DE CLASIFICACIÓN Y DESCLASIFICACIÓN DE LA</w:t>
      </w:r>
      <w:r w:rsidRPr="00A47AFF">
        <w:rPr>
          <w:rFonts w:ascii="Palatino Linotype" w:hAnsi="Palatino Linotype"/>
        </w:rPr>
        <w:t> </w:t>
      </w:r>
      <w:r w:rsidRPr="00A47AFF">
        <w:rPr>
          <w:rFonts w:ascii="Palatino Linotype" w:hAnsi="Palatino Linotype" w:cs="Arial"/>
        </w:rPr>
        <w:t xml:space="preserve">INFORMACIÓN, ASÍ COMO PARA LA ELABORACIÓN DE VERSIONES </w:t>
      </w:r>
      <w:r w:rsidRPr="00A47AFF">
        <w:rPr>
          <w:rFonts w:ascii="Palatino Linotype" w:hAnsi="Palatino Linotype" w:cs="Arial"/>
        </w:rPr>
        <w:lastRenderedPageBreak/>
        <w:t>PÚBLICAS, publicados en el Diario Oficial de la Federación en fecha quince de abril de la presente anualidad, mediante ACUERDO del Consejo Nacional del Sistema Nacional de Transparencia, Acceso a la Información Pública y Protección de Datos Personales.</w:t>
      </w:r>
    </w:p>
    <w:p w:rsidR="00352C44" w:rsidRPr="00A47AFF" w:rsidRDefault="00352C44" w:rsidP="00352C44">
      <w:pPr>
        <w:spacing w:before="240" w:after="240" w:line="360" w:lineRule="auto"/>
        <w:jc w:val="both"/>
        <w:rPr>
          <w:rFonts w:ascii="Palatino Linotype" w:hAnsi="Palatino Linotype" w:cs="Arial"/>
        </w:rPr>
      </w:pPr>
      <w:r w:rsidRPr="00A47AFF">
        <w:rPr>
          <w:rFonts w:ascii="Palatino Linotype" w:hAnsi="Palatino Linotype" w:cs="Arial"/>
        </w:rPr>
        <w:t xml:space="preserve">En mérito de lo expuesto en líneas anteriores, este Órgano Garante considera que resultan fundados los motivos de inconformidad que arguye el recurrente en sus medios de impugnación que fue materia de estudio, por ello con fundamento en el artículo 186 fracción IV de la Ley de Transparencia y Acceso a la Información Pública del Estado de México y Municipios, se </w:t>
      </w:r>
      <w:r w:rsidRPr="00A47AFF">
        <w:rPr>
          <w:rFonts w:ascii="Palatino Linotype" w:hAnsi="Palatino Linotype" w:cs="Arial"/>
          <w:b/>
        </w:rPr>
        <w:t xml:space="preserve">ORDENA al Sujeto Obligado </w:t>
      </w:r>
      <w:r w:rsidRPr="00A47AFF">
        <w:rPr>
          <w:rFonts w:ascii="Palatino Linotype" w:hAnsi="Palatino Linotype"/>
          <w:b/>
        </w:rPr>
        <w:t>de</w:t>
      </w:r>
      <w:r w:rsidRPr="00A47AFF">
        <w:rPr>
          <w:rFonts w:ascii="Palatino Linotype" w:hAnsi="Palatino Linotype"/>
        </w:rPr>
        <w:t xml:space="preserve"> respuesta a la solicitud de información </w:t>
      </w:r>
      <w:r w:rsidRPr="00A47AFF">
        <w:rPr>
          <w:rFonts w:ascii="Palatino Linotype" w:hAnsi="Palatino Linotype" w:cs="Arial"/>
          <w:b/>
        </w:rPr>
        <w:t>00</w:t>
      </w:r>
      <w:r>
        <w:rPr>
          <w:rFonts w:ascii="Palatino Linotype" w:hAnsi="Palatino Linotype" w:cs="Arial"/>
          <w:b/>
        </w:rPr>
        <w:t>023</w:t>
      </w:r>
      <w:r w:rsidRPr="00A47AFF">
        <w:rPr>
          <w:rFonts w:ascii="Palatino Linotype" w:hAnsi="Palatino Linotype" w:cs="Arial"/>
          <w:b/>
        </w:rPr>
        <w:t>/</w:t>
      </w:r>
      <w:r>
        <w:rPr>
          <w:rFonts w:ascii="Palatino Linotype" w:hAnsi="Palatino Linotype" w:cs="Arial"/>
          <w:b/>
        </w:rPr>
        <w:t>ISIFABE</w:t>
      </w:r>
      <w:r w:rsidRPr="00A47AFF">
        <w:rPr>
          <w:rFonts w:ascii="Palatino Linotype" w:hAnsi="Palatino Linotype" w:cs="Arial"/>
          <w:b/>
        </w:rPr>
        <w:t>/IP/2018</w:t>
      </w:r>
      <w:r>
        <w:rPr>
          <w:rFonts w:ascii="Palatino Linotype" w:hAnsi="Palatino Linotype" w:cs="Arial"/>
          <w:b/>
        </w:rPr>
        <w:t xml:space="preserve"> </w:t>
      </w:r>
      <w:r>
        <w:rPr>
          <w:rFonts w:ascii="Palatino Linotype" w:hAnsi="Palatino Linotype"/>
        </w:rPr>
        <w:t>que ha</w:t>
      </w:r>
      <w:r w:rsidRPr="00A47AFF">
        <w:rPr>
          <w:rFonts w:ascii="Palatino Linotype" w:hAnsi="Palatino Linotype"/>
        </w:rPr>
        <w:t xml:space="preserve"> sido materia del presente fallo</w:t>
      </w:r>
      <w:r w:rsidRPr="00A47AFF">
        <w:rPr>
          <w:rFonts w:ascii="Palatino Linotype" w:hAnsi="Palatino Linotype" w:cs="Arial"/>
        </w:rPr>
        <w:t>, por lo que este Pleno:</w:t>
      </w:r>
    </w:p>
    <w:p w:rsidR="00352C44" w:rsidRDefault="00352C44" w:rsidP="0069019E">
      <w:pPr>
        <w:spacing w:before="240" w:after="240" w:line="360" w:lineRule="auto"/>
        <w:ind w:left="360"/>
        <w:contextualSpacing/>
        <w:jc w:val="center"/>
        <w:rPr>
          <w:rFonts w:ascii="Palatino Linotype" w:hAnsi="Palatino Linotype" w:cs="Arial"/>
          <w:b/>
        </w:rPr>
      </w:pPr>
    </w:p>
    <w:p w:rsidR="0069019E" w:rsidRDefault="0069019E" w:rsidP="0069019E">
      <w:pPr>
        <w:spacing w:before="240" w:after="240" w:line="360" w:lineRule="auto"/>
        <w:ind w:left="360"/>
        <w:contextualSpacing/>
        <w:jc w:val="center"/>
        <w:rPr>
          <w:rFonts w:ascii="Palatino Linotype" w:hAnsi="Palatino Linotype" w:cs="Arial"/>
          <w:b/>
        </w:rPr>
      </w:pPr>
      <w:r w:rsidRPr="00DF1E81">
        <w:rPr>
          <w:rFonts w:ascii="Palatino Linotype" w:hAnsi="Palatino Linotype" w:cs="Arial"/>
          <w:b/>
        </w:rPr>
        <w:t>III. R E S U E L V E:</w:t>
      </w:r>
    </w:p>
    <w:p w:rsidR="0069019E" w:rsidRPr="00DF1E81" w:rsidRDefault="0069019E" w:rsidP="0069019E">
      <w:pPr>
        <w:spacing w:before="240" w:after="240" w:line="360" w:lineRule="auto"/>
        <w:ind w:left="360"/>
        <w:contextualSpacing/>
        <w:jc w:val="center"/>
        <w:rPr>
          <w:rFonts w:ascii="Palatino Linotype" w:hAnsi="Palatino Linotype" w:cs="Arial"/>
          <w:b/>
        </w:rPr>
      </w:pPr>
    </w:p>
    <w:p w:rsidR="00FA2800" w:rsidRPr="00A47AFF" w:rsidRDefault="00FA2800" w:rsidP="00FA2800">
      <w:pPr>
        <w:spacing w:before="240" w:after="240" w:line="360" w:lineRule="auto"/>
        <w:ind w:right="49"/>
        <w:jc w:val="both"/>
        <w:rPr>
          <w:rFonts w:ascii="Palatino Linotype" w:hAnsi="Palatino Linotype" w:cs="Arial"/>
        </w:rPr>
      </w:pPr>
      <w:r w:rsidRPr="00A47AFF">
        <w:rPr>
          <w:rFonts w:ascii="Palatino Linotype" w:hAnsi="Palatino Linotype" w:cs="Arial"/>
          <w:b/>
        </w:rPr>
        <w:t xml:space="preserve">Primero. </w:t>
      </w:r>
      <w:r w:rsidRPr="00A47AFF">
        <w:rPr>
          <w:rFonts w:ascii="Palatino Linotype" w:hAnsi="Palatino Linotype" w:cs="Arial"/>
          <w:lang w:val="es-ES_tradnl"/>
        </w:rPr>
        <w:t xml:space="preserve">Resultan </w:t>
      </w:r>
      <w:r w:rsidRPr="00A47AFF">
        <w:rPr>
          <w:rFonts w:ascii="Palatino Linotype" w:eastAsia="Arial Unicode MS" w:hAnsi="Palatino Linotype" w:cs="Arial"/>
        </w:rPr>
        <w:t xml:space="preserve">fundados los motivos de inconformidad que arguye el recurrente, en términos del </w:t>
      </w:r>
      <w:r w:rsidRPr="00A47AFF">
        <w:rPr>
          <w:rFonts w:ascii="Palatino Linotype" w:hAnsi="Palatino Linotype" w:cs="Arial"/>
        </w:rPr>
        <w:t>Considerando Cuarto de la presente resolución.</w:t>
      </w:r>
    </w:p>
    <w:p w:rsidR="00FA2800" w:rsidRPr="00A47AFF" w:rsidRDefault="00FA2800" w:rsidP="00FA2800">
      <w:pPr>
        <w:pStyle w:val="NormalWeb"/>
        <w:spacing w:line="360" w:lineRule="auto"/>
        <w:jc w:val="both"/>
        <w:rPr>
          <w:rFonts w:ascii="Palatino Linotype" w:hAnsi="Palatino Linotype"/>
        </w:rPr>
      </w:pPr>
      <w:r w:rsidRPr="00A47AFF">
        <w:rPr>
          <w:rFonts w:ascii="Palatino Linotype" w:hAnsi="Palatino Linotype" w:cs="Arial"/>
          <w:b/>
        </w:rPr>
        <w:t>Segundo.</w:t>
      </w:r>
      <w:r w:rsidR="00B54DD6" w:rsidRPr="00A47AFF">
        <w:rPr>
          <w:rFonts w:ascii="Palatino Linotype" w:eastAsia="Calibri" w:hAnsi="Palatino Linotype" w:cs="Arial"/>
        </w:rPr>
        <w:t xml:space="preserve"> </w:t>
      </w:r>
      <w:r w:rsidR="00B54DD6" w:rsidRPr="00A47AFF">
        <w:rPr>
          <w:rFonts w:ascii="Palatino Linotype" w:hAnsi="Palatino Linotype" w:cs="Arial"/>
        </w:rPr>
        <w:t>Se</w:t>
      </w:r>
      <w:r w:rsidR="00B54DD6" w:rsidRPr="00A47AFF">
        <w:rPr>
          <w:rFonts w:ascii="Palatino Linotype" w:hAnsi="Palatino Linotype" w:cs="Arial"/>
          <w:b/>
        </w:rPr>
        <w:t xml:space="preserve"> </w:t>
      </w:r>
      <w:r w:rsidR="00B54DD6" w:rsidRPr="00A47AFF">
        <w:rPr>
          <w:rFonts w:ascii="Palatino Linotype" w:hAnsi="Palatino Linotype"/>
          <w:b/>
        </w:rPr>
        <w:t xml:space="preserve">ORDENA </w:t>
      </w:r>
      <w:r w:rsidR="00B54DD6" w:rsidRPr="00A47AFF">
        <w:rPr>
          <w:rFonts w:ascii="Palatino Linotype" w:hAnsi="Palatino Linotype"/>
        </w:rPr>
        <w:t xml:space="preserve">al </w:t>
      </w:r>
      <w:r w:rsidR="00B54DD6" w:rsidRPr="00A47AFF">
        <w:rPr>
          <w:rFonts w:ascii="Palatino Linotype" w:hAnsi="Palatino Linotype"/>
          <w:b/>
        </w:rPr>
        <w:t>Sujeto Obligado</w:t>
      </w:r>
      <w:r w:rsidR="00B54DD6" w:rsidRPr="00A47AFF">
        <w:rPr>
          <w:rFonts w:ascii="Palatino Linotype" w:hAnsi="Palatino Linotype"/>
        </w:rPr>
        <w:t xml:space="preserve"> a que</w:t>
      </w:r>
      <w:r w:rsidR="00B54DD6" w:rsidRPr="00A47AFF">
        <w:rPr>
          <w:rFonts w:ascii="Palatino Linotype" w:hAnsi="Palatino Linotype"/>
          <w:b/>
        </w:rPr>
        <w:t xml:space="preserve"> </w:t>
      </w:r>
      <w:r w:rsidR="00B54DD6" w:rsidRPr="00A47AFF">
        <w:rPr>
          <w:rFonts w:ascii="Palatino Linotype" w:hAnsi="Palatino Linotype"/>
        </w:rPr>
        <w:t xml:space="preserve">en términos de los Considerandos </w:t>
      </w:r>
      <w:r w:rsidR="00B54DD6">
        <w:rPr>
          <w:rFonts w:ascii="Palatino Linotype" w:hAnsi="Palatino Linotype"/>
        </w:rPr>
        <w:t>Cuarto y Quinto</w:t>
      </w:r>
      <w:r w:rsidR="00B54DD6" w:rsidRPr="00A47AFF">
        <w:rPr>
          <w:rFonts w:ascii="Palatino Linotype" w:hAnsi="Palatino Linotype"/>
        </w:rPr>
        <w:t xml:space="preserve">, haga entrega, vía SAIMEX, en versión pública </w:t>
      </w:r>
      <w:r w:rsidRPr="00A47AFF">
        <w:rPr>
          <w:rFonts w:ascii="Palatino Linotype" w:hAnsi="Palatino Linotype"/>
        </w:rPr>
        <w:t>de</w:t>
      </w:r>
      <w:r w:rsidR="00F06DB5">
        <w:rPr>
          <w:rFonts w:ascii="Palatino Linotype" w:hAnsi="Palatino Linotype"/>
        </w:rPr>
        <w:t>l soporte documental en donde conste</w:t>
      </w:r>
      <w:r w:rsidRPr="00A47AFF">
        <w:rPr>
          <w:rFonts w:ascii="Palatino Linotype" w:hAnsi="Palatino Linotype"/>
        </w:rPr>
        <w:t xml:space="preserve"> lo siguiente:</w:t>
      </w:r>
    </w:p>
    <w:p w:rsidR="00352C44" w:rsidRPr="00FC1A8C" w:rsidRDefault="006859BC" w:rsidP="00F06DB5">
      <w:pPr>
        <w:pStyle w:val="Prrafodelista"/>
        <w:numPr>
          <w:ilvl w:val="0"/>
          <w:numId w:val="2"/>
        </w:numPr>
        <w:spacing w:before="240" w:after="240" w:line="360" w:lineRule="auto"/>
        <w:ind w:right="49"/>
        <w:jc w:val="both"/>
        <w:rPr>
          <w:rFonts w:ascii="Palatino Linotype" w:hAnsi="Palatino Linotype" w:cs="Arial"/>
        </w:rPr>
      </w:pPr>
      <w:r w:rsidRPr="00FC1A8C">
        <w:rPr>
          <w:rFonts w:ascii="Palatino Linotype" w:hAnsi="Palatino Linotype" w:cs="Arial"/>
          <w:lang w:val="es-ES"/>
        </w:rPr>
        <w:t>El salario bruto y neto del Presidente Municipal, Síndico y Regidores, en la primera y segunda quincena del mes de septiembre y octubre de dos mil dieciocho</w:t>
      </w:r>
      <w:r w:rsidR="00F06DB5" w:rsidRPr="00FC1A8C">
        <w:rPr>
          <w:rFonts w:ascii="Palatino Linotype" w:hAnsi="Palatino Linotype" w:cs="Arial"/>
        </w:rPr>
        <w:t>.</w:t>
      </w:r>
      <w:r w:rsidR="00352C44" w:rsidRPr="00FC1A8C">
        <w:rPr>
          <w:rFonts w:ascii="Palatino Linotype" w:hAnsi="Palatino Linotype"/>
          <w:i/>
          <w:sz w:val="24"/>
          <w:szCs w:val="24"/>
        </w:rPr>
        <w:t xml:space="preserve"> </w:t>
      </w:r>
    </w:p>
    <w:p w:rsidR="00352C44" w:rsidRPr="00352C44" w:rsidRDefault="00352C44" w:rsidP="00352C44">
      <w:pPr>
        <w:pStyle w:val="Prrafodelista"/>
        <w:spacing w:before="240" w:after="240" w:line="360" w:lineRule="auto"/>
        <w:ind w:left="720"/>
        <w:jc w:val="both"/>
        <w:rPr>
          <w:rFonts w:ascii="Palatino Linotype" w:eastAsia="Calibri" w:hAnsi="Palatino Linotype" w:cs="Arial"/>
          <w:lang w:val="es-ES_tradnl"/>
        </w:rPr>
      </w:pPr>
      <w:r w:rsidRPr="00352C44">
        <w:rPr>
          <w:rFonts w:ascii="Palatino Linotype" w:hAnsi="Palatino Linotype" w:cs="Arial"/>
          <w:bCs/>
          <w:shd w:val="clear" w:color="auto" w:fill="FFFFFF"/>
        </w:rPr>
        <w:lastRenderedPageBreak/>
        <w:t xml:space="preserve">Para lo cual se deberá emitir el Acuerdo del Comité de Transparencia en términos del artículo 49 fracción VIII y </w:t>
      </w:r>
      <w:r w:rsidRPr="00352C44">
        <w:rPr>
          <w:rFonts w:ascii="Palatino Linotype" w:eastAsia="Calibri" w:hAnsi="Palatino Linotype" w:cs="Arial"/>
          <w:lang w:val="es-ES_tradnl"/>
        </w:rPr>
        <w:t>132 fracción II de la Ley de Transparencia y Acceso a la Información Pública del Estado de México y Municipios vigente, en el que funde y motive las razones sobre los datos que se supriman o eliminen dentro del soporte documental respectivo objeto de las versiones públicas que se formulen y se ponga a disposición de la recurrente.</w:t>
      </w:r>
    </w:p>
    <w:p w:rsidR="00FA2800" w:rsidRPr="00A47AFF" w:rsidRDefault="00FA2800" w:rsidP="00FA2800">
      <w:pPr>
        <w:spacing w:before="240" w:after="240" w:line="360" w:lineRule="auto"/>
        <w:ind w:right="49"/>
        <w:jc w:val="both"/>
        <w:rPr>
          <w:rFonts w:ascii="Palatino Linotype" w:eastAsia="MS Mincho" w:hAnsi="Palatino Linotype"/>
          <w:shd w:val="clear" w:color="auto" w:fill="FFFFFF"/>
          <w:lang w:val="es-ES_tradnl"/>
        </w:rPr>
      </w:pPr>
      <w:r w:rsidRPr="00A47AFF">
        <w:rPr>
          <w:rFonts w:ascii="Palatino Linotype" w:hAnsi="Palatino Linotype" w:cs="Arial"/>
          <w:b/>
          <w:bCs/>
          <w:shd w:val="clear" w:color="auto" w:fill="FFFFFF"/>
        </w:rPr>
        <w:t xml:space="preserve">Tercero. </w:t>
      </w:r>
      <w:bookmarkStart w:id="1" w:name="_Toc450120670"/>
      <w:r w:rsidRPr="00A47AFF">
        <w:rPr>
          <w:rFonts w:ascii="Palatino Linotype" w:eastAsia="MS Mincho" w:hAnsi="Palatino Linotype" w:cs="Arial"/>
          <w:b/>
          <w:bCs/>
          <w:shd w:val="clear" w:color="auto" w:fill="FFFFFF"/>
          <w:lang w:val="es-ES_tradnl"/>
        </w:rPr>
        <w:t xml:space="preserve">Remítase </w:t>
      </w:r>
      <w:r w:rsidRPr="00A47AFF">
        <w:rPr>
          <w:rFonts w:ascii="Palatino Linotype" w:eastAsia="MS Mincho" w:hAnsi="Palatino Linotype"/>
          <w:shd w:val="clear" w:color="auto" w:fill="FFFFFF"/>
          <w:lang w:val="es-ES_tradnl"/>
        </w:rPr>
        <w:t>al Titular de la Unidad de Transparencia del</w:t>
      </w:r>
      <w:r w:rsidRPr="00A47AFF">
        <w:rPr>
          <w:rFonts w:ascii="Palatino Linotype" w:eastAsia="MS Mincho" w:hAnsi="Palatino Linotype"/>
          <w:b/>
          <w:bCs/>
          <w:shd w:val="clear" w:color="auto" w:fill="FFFFFF"/>
          <w:lang w:val="es-ES_tradnl"/>
        </w:rPr>
        <w:t xml:space="preserve"> SUJETO OBLIGADO</w:t>
      </w:r>
      <w:r w:rsidRPr="00A47AFF">
        <w:rPr>
          <w:rFonts w:ascii="Palatino Linotype" w:eastAsia="MS Mincho" w:hAnsi="Palatino Linotype"/>
          <w:shd w:val="clear" w:color="auto" w:fill="FFFFFF"/>
          <w:lang w:val="es-ES_tradnl"/>
        </w:rPr>
        <w:t>, la presente resolución para que conforme a los artículo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bookmarkEnd w:id="1"/>
    </w:p>
    <w:p w:rsidR="00FA2800" w:rsidRPr="00A47AFF" w:rsidRDefault="00FA2800" w:rsidP="00FA2800">
      <w:pPr>
        <w:spacing w:before="240" w:after="240" w:line="360" w:lineRule="auto"/>
        <w:ind w:right="49"/>
        <w:jc w:val="both"/>
        <w:rPr>
          <w:rFonts w:ascii="Palatino Linotype" w:hAnsi="Palatino Linotype" w:cs="Arial"/>
          <w:b/>
        </w:rPr>
      </w:pPr>
      <w:r w:rsidRPr="00A47AFF">
        <w:rPr>
          <w:rFonts w:ascii="Palatino Linotype" w:hAnsi="Palatino Linotype" w:cs="Arial"/>
          <w:b/>
        </w:rPr>
        <w:t xml:space="preserve">Cuarto.  Hágase del Conocimiento </w:t>
      </w:r>
      <w:r w:rsidRPr="00A47AFF">
        <w:rPr>
          <w:rFonts w:ascii="Palatino Linotype" w:hAnsi="Palatino Linotype" w:cs="Arial"/>
        </w:rPr>
        <w:t xml:space="preserve">del </w:t>
      </w:r>
      <w:r w:rsidRPr="00A47AFF">
        <w:rPr>
          <w:rFonts w:ascii="Palatino Linotype" w:hAnsi="Palatino Linotype" w:cs="Arial"/>
          <w:b/>
        </w:rPr>
        <w:t>recurrente</w:t>
      </w:r>
      <w:r w:rsidRPr="00A47AFF">
        <w:rPr>
          <w:rFonts w:ascii="Palatino Linotype" w:hAnsi="Palatino Linotype" w:cs="Arial"/>
        </w:rPr>
        <w:t>, la presente resolución, así como, que de conformidad con lo establecido en el artículo 196 de la Ley de Transparencia y Acceso a la Información Pública del Estado de México y Municipios, podrá impugnarla vía el Juicio de Amparo en los términos de las leyes  aplicables.</w:t>
      </w:r>
    </w:p>
    <w:p w:rsidR="00FA2800" w:rsidRPr="00A47AFF" w:rsidRDefault="00FA2800" w:rsidP="00FA2800">
      <w:pPr>
        <w:spacing w:before="240" w:after="240" w:line="360" w:lineRule="auto"/>
        <w:jc w:val="both"/>
        <w:rPr>
          <w:rFonts w:ascii="Palatino Linotype" w:eastAsia="MS Mincho" w:hAnsi="Palatino Linotype"/>
          <w:shd w:val="clear" w:color="auto" w:fill="FFFFFF"/>
          <w:lang w:val="es-ES_tradnl"/>
        </w:rPr>
      </w:pPr>
      <w:r w:rsidRPr="00A47AFF">
        <w:rPr>
          <w:rFonts w:ascii="Palatino Linotype" w:hAnsi="Palatino Linotype"/>
          <w:b/>
        </w:rPr>
        <w:t>Quinto.</w:t>
      </w:r>
      <w:r w:rsidRPr="00A47AFF">
        <w:rPr>
          <w:rFonts w:ascii="Palatino Linotype" w:eastAsia="MS Mincho" w:hAnsi="Palatino Linotype" w:cs="Arial"/>
          <w:b/>
          <w:bCs/>
          <w:shd w:val="clear" w:color="auto" w:fill="FFFFFF"/>
          <w:lang w:val="es-ES_tradnl"/>
        </w:rPr>
        <w:t xml:space="preserve"> </w:t>
      </w:r>
      <w:r w:rsidRPr="00A47AFF">
        <w:rPr>
          <w:rFonts w:ascii="Palatino Linotype" w:eastAsia="MS Mincho" w:hAnsi="Palatino Linotype" w:cs="Arial"/>
          <w:b/>
          <w:bCs/>
          <w:shd w:val="clear" w:color="auto" w:fill="FFFFFF"/>
        </w:rPr>
        <w:t>Gírese</w:t>
      </w:r>
      <w:r w:rsidRPr="00A47AFF">
        <w:rPr>
          <w:rFonts w:ascii="Palatino Linotype" w:eastAsia="MS Mincho" w:hAnsi="Palatino Linotype" w:cs="Arial"/>
          <w:bCs/>
          <w:shd w:val="clear" w:color="auto" w:fill="FFFFFF"/>
        </w:rPr>
        <w:t> oficio al Contralor Interno de este Instituto para que actúe en razón de su competencia, en términos de lo expuesto en el Considerando Cuarto de la presente resolución.</w:t>
      </w:r>
    </w:p>
    <w:p w:rsidR="0069019E" w:rsidRPr="00B6671F" w:rsidRDefault="0069019E" w:rsidP="0069019E">
      <w:pPr>
        <w:tabs>
          <w:tab w:val="left" w:pos="709"/>
        </w:tabs>
        <w:spacing w:before="240" w:after="240" w:line="360" w:lineRule="auto"/>
        <w:jc w:val="both"/>
        <w:rPr>
          <w:rFonts w:ascii="Palatino Linotype" w:hAnsi="Palatino Linotype" w:cs="Arial"/>
        </w:rPr>
      </w:pPr>
      <w:r w:rsidRPr="00B6671F">
        <w:rPr>
          <w:rFonts w:ascii="Palatino Linotype" w:hAnsi="Palatino Linotype"/>
        </w:rPr>
        <w:t xml:space="preserve">ASÍ LO RESUELVE, POR UNANIMIDAD DE VOTOS, EL PLENO DEL INSTITUTO DE TRANSPARENCIA, ACCESO A LA INFORMACIÓN PÚBLICA Y PROTECCIÓN DE DATOS PERSONALES DEL ESTADO DE MÉXICO Y MUNICIPIOS, CONFORMADO POR LOS COMISIONADOS ZULEMA </w:t>
      </w:r>
      <w:r w:rsidRPr="00B6671F">
        <w:rPr>
          <w:rFonts w:ascii="Palatino Linotype" w:hAnsi="Palatino Linotype"/>
        </w:rPr>
        <w:lastRenderedPageBreak/>
        <w:t>MARTÍNEZ SÁNCHEZ</w:t>
      </w:r>
      <w:r w:rsidR="00B91A79">
        <w:rPr>
          <w:rFonts w:ascii="Palatino Linotype" w:hAnsi="Palatino Linotype"/>
        </w:rPr>
        <w:t>(EMITIENDO VOTO PARTICULAR)</w:t>
      </w:r>
      <w:r w:rsidRPr="00B6671F">
        <w:rPr>
          <w:rFonts w:ascii="Palatino Linotype" w:hAnsi="Palatino Linotype"/>
        </w:rPr>
        <w:t xml:space="preserve">; EVA ABAID YAPUR; </w:t>
      </w:r>
      <w:r>
        <w:rPr>
          <w:rFonts w:ascii="Palatino Linotype" w:hAnsi="Palatino Linotype"/>
        </w:rPr>
        <w:t>JOSÉ GUADALUPE LUNA HERNÁNDEZ; JAVIER MARTÍNEZ CRUZ Y LUIS GUSTAVO PARRA NORIEGA</w:t>
      </w:r>
      <w:r w:rsidR="00B91A79">
        <w:rPr>
          <w:rFonts w:ascii="Palatino Linotype" w:hAnsi="Palatino Linotype"/>
        </w:rPr>
        <w:t>(EMITIENDO VOTO PARTICULAR)</w:t>
      </w:r>
      <w:r>
        <w:rPr>
          <w:rFonts w:ascii="Palatino Linotype" w:hAnsi="Palatino Linotype"/>
        </w:rPr>
        <w:t xml:space="preserve">; EN LA </w:t>
      </w:r>
      <w:r w:rsidR="00FA2800">
        <w:rPr>
          <w:rFonts w:ascii="Palatino Linotype" w:hAnsi="Palatino Linotype"/>
        </w:rPr>
        <w:t xml:space="preserve">CUARTA </w:t>
      </w:r>
      <w:r w:rsidRPr="00B6671F">
        <w:rPr>
          <w:rFonts w:ascii="Palatino Linotype" w:hAnsi="Palatino Linotype"/>
        </w:rPr>
        <w:t xml:space="preserve">SESIÓN ORDINARIA CELEBRADA EL </w:t>
      </w:r>
      <w:r w:rsidR="00FA2800">
        <w:rPr>
          <w:rFonts w:ascii="Palatino Linotype" w:hAnsi="Palatino Linotype"/>
        </w:rPr>
        <w:t xml:space="preserve">TREINTA DE ENERO </w:t>
      </w:r>
      <w:r w:rsidRPr="00B6671F">
        <w:rPr>
          <w:rFonts w:ascii="Palatino Linotype" w:hAnsi="Palatino Linotype"/>
        </w:rPr>
        <w:t>DE DOS MIL DIECI</w:t>
      </w:r>
      <w:r w:rsidR="00FA2800">
        <w:rPr>
          <w:rFonts w:ascii="Palatino Linotype" w:hAnsi="Palatino Linotype"/>
        </w:rPr>
        <w:t>NUEVE</w:t>
      </w:r>
      <w:r w:rsidRPr="00B6671F">
        <w:rPr>
          <w:rFonts w:ascii="Palatino Linotype" w:hAnsi="Palatino Linotype"/>
        </w:rPr>
        <w:t>, ANTE EL SECRETARIO TÉCNICO DEL PLENO ALEXIS TAPIA RAMÍREZ.</w:t>
      </w:r>
      <w:r w:rsidRPr="00B6671F">
        <w:rPr>
          <w:rFonts w:ascii="Palatino Linotype" w:hAnsi="Palatino Linotype" w:cs="Arial"/>
        </w:rPr>
        <w:t xml:space="preserve"> </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9"/>
        <w:gridCol w:w="4419"/>
      </w:tblGrid>
      <w:tr w:rsidR="0069019E" w:rsidRPr="00B6671F" w:rsidTr="002A165C">
        <w:trPr>
          <w:trHeight w:val="1807"/>
        </w:trPr>
        <w:tc>
          <w:tcPr>
            <w:tcW w:w="8838" w:type="dxa"/>
            <w:gridSpan w:val="2"/>
            <w:vAlign w:val="center"/>
          </w:tcPr>
          <w:p w:rsidR="0069019E" w:rsidRPr="00680B1A" w:rsidRDefault="0069019E" w:rsidP="002A165C">
            <w:pPr>
              <w:rPr>
                <w:rFonts w:ascii="Palatino Linotype" w:hAnsi="Palatino Linotype"/>
              </w:rPr>
            </w:pPr>
          </w:p>
          <w:p w:rsidR="0069019E" w:rsidRPr="00680B1A" w:rsidRDefault="0069019E" w:rsidP="002A165C">
            <w:pPr>
              <w:jc w:val="center"/>
              <w:rPr>
                <w:rFonts w:ascii="Palatino Linotype" w:hAnsi="Palatino Linotype"/>
                <w:b/>
              </w:rPr>
            </w:pPr>
            <w:r w:rsidRPr="00680B1A">
              <w:rPr>
                <w:rFonts w:ascii="Palatino Linotype" w:hAnsi="Palatino Linotype" w:cs="Arial"/>
                <w:b/>
              </w:rPr>
              <w:t>Zulema Martínez Sánchez</w:t>
            </w:r>
            <w:r w:rsidRPr="00680B1A">
              <w:rPr>
                <w:rFonts w:ascii="Palatino Linotype" w:hAnsi="Palatino Linotype"/>
                <w:b/>
              </w:rPr>
              <w:t xml:space="preserve"> </w:t>
            </w:r>
          </w:p>
          <w:p w:rsidR="0069019E" w:rsidRPr="00680B1A" w:rsidRDefault="0069019E" w:rsidP="002A165C">
            <w:pPr>
              <w:jc w:val="center"/>
              <w:rPr>
                <w:rFonts w:ascii="Palatino Linotype" w:hAnsi="Palatino Linotype"/>
              </w:rPr>
            </w:pPr>
            <w:r w:rsidRPr="00680B1A">
              <w:rPr>
                <w:rFonts w:ascii="Palatino Linotype" w:hAnsi="Palatino Linotype"/>
              </w:rPr>
              <w:t>Comisionada Presidenta</w:t>
            </w:r>
          </w:p>
          <w:p w:rsidR="0069019E" w:rsidRDefault="0069019E" w:rsidP="002A165C">
            <w:pPr>
              <w:jc w:val="center"/>
              <w:rPr>
                <w:rFonts w:ascii="Palatino Linotype" w:hAnsi="Palatino Linotype"/>
              </w:rPr>
            </w:pPr>
            <w:r w:rsidRPr="00680B1A">
              <w:rPr>
                <w:rFonts w:ascii="Palatino Linotype" w:hAnsi="Palatino Linotype"/>
              </w:rPr>
              <w:t>(Rúbrica)</w:t>
            </w:r>
          </w:p>
          <w:p w:rsidR="0069019E" w:rsidRPr="00680B1A" w:rsidRDefault="0069019E" w:rsidP="002A165C">
            <w:pPr>
              <w:jc w:val="center"/>
              <w:rPr>
                <w:rFonts w:ascii="Palatino Linotype" w:hAnsi="Palatino Linotype"/>
              </w:rPr>
            </w:pPr>
          </w:p>
          <w:p w:rsidR="0069019E" w:rsidRDefault="0069019E" w:rsidP="002A165C">
            <w:pPr>
              <w:jc w:val="center"/>
              <w:rPr>
                <w:rFonts w:ascii="Palatino Linotype" w:hAnsi="Palatino Linotype"/>
              </w:rPr>
            </w:pPr>
          </w:p>
          <w:p w:rsidR="0069019E" w:rsidRPr="00680B1A" w:rsidRDefault="0069019E" w:rsidP="002A165C">
            <w:pPr>
              <w:rPr>
                <w:rFonts w:ascii="Palatino Linotype" w:hAnsi="Palatino Linotype"/>
              </w:rPr>
            </w:pPr>
          </w:p>
        </w:tc>
      </w:tr>
      <w:tr w:rsidR="0069019E" w:rsidRPr="00B6671F" w:rsidTr="002A165C">
        <w:trPr>
          <w:trHeight w:val="2156"/>
        </w:trPr>
        <w:tc>
          <w:tcPr>
            <w:tcW w:w="4419" w:type="dxa"/>
            <w:vAlign w:val="center"/>
          </w:tcPr>
          <w:p w:rsidR="0069019E" w:rsidRDefault="0069019E" w:rsidP="002A165C">
            <w:pPr>
              <w:rPr>
                <w:rFonts w:ascii="Palatino Linotype" w:hAnsi="Palatino Linotype"/>
                <w:b/>
              </w:rPr>
            </w:pPr>
          </w:p>
          <w:p w:rsidR="0069019E" w:rsidRPr="00680B1A" w:rsidRDefault="0069019E" w:rsidP="002A165C">
            <w:pPr>
              <w:rPr>
                <w:rFonts w:ascii="Palatino Linotype" w:hAnsi="Palatino Linotype"/>
                <w:b/>
              </w:rPr>
            </w:pPr>
          </w:p>
          <w:p w:rsidR="0069019E" w:rsidRPr="00680B1A" w:rsidRDefault="0069019E" w:rsidP="002A165C">
            <w:pPr>
              <w:jc w:val="center"/>
              <w:rPr>
                <w:rFonts w:ascii="Palatino Linotype" w:hAnsi="Palatino Linotype"/>
                <w:b/>
              </w:rPr>
            </w:pPr>
          </w:p>
          <w:p w:rsidR="0069019E" w:rsidRPr="00680B1A" w:rsidRDefault="0069019E" w:rsidP="002A165C">
            <w:pPr>
              <w:rPr>
                <w:rFonts w:ascii="Palatino Linotype" w:hAnsi="Palatino Linotype"/>
                <w:b/>
              </w:rPr>
            </w:pPr>
          </w:p>
          <w:p w:rsidR="0069019E" w:rsidRPr="00680B1A" w:rsidRDefault="0069019E" w:rsidP="002A165C">
            <w:pPr>
              <w:jc w:val="center"/>
              <w:rPr>
                <w:rFonts w:ascii="Palatino Linotype" w:hAnsi="Palatino Linotype"/>
                <w:b/>
              </w:rPr>
            </w:pPr>
            <w:r w:rsidRPr="00680B1A">
              <w:rPr>
                <w:rFonts w:ascii="Palatino Linotype" w:hAnsi="Palatino Linotype"/>
                <w:b/>
              </w:rPr>
              <w:t xml:space="preserve">Eva </w:t>
            </w:r>
            <w:proofErr w:type="spellStart"/>
            <w:r w:rsidRPr="00680B1A">
              <w:rPr>
                <w:rFonts w:ascii="Palatino Linotype" w:hAnsi="Palatino Linotype"/>
                <w:b/>
              </w:rPr>
              <w:t>Abaid</w:t>
            </w:r>
            <w:proofErr w:type="spellEnd"/>
            <w:r w:rsidRPr="00680B1A">
              <w:rPr>
                <w:rFonts w:ascii="Palatino Linotype" w:hAnsi="Palatino Linotype"/>
                <w:b/>
              </w:rPr>
              <w:t xml:space="preserve"> </w:t>
            </w:r>
            <w:proofErr w:type="spellStart"/>
            <w:r w:rsidRPr="00680B1A">
              <w:rPr>
                <w:rFonts w:ascii="Palatino Linotype" w:hAnsi="Palatino Linotype"/>
                <w:b/>
              </w:rPr>
              <w:t>Yapur</w:t>
            </w:r>
            <w:proofErr w:type="spellEnd"/>
          </w:p>
          <w:p w:rsidR="0069019E" w:rsidRPr="00680B1A" w:rsidRDefault="0069019E" w:rsidP="002A165C">
            <w:pPr>
              <w:jc w:val="center"/>
              <w:rPr>
                <w:rFonts w:ascii="Palatino Linotype" w:hAnsi="Palatino Linotype"/>
              </w:rPr>
            </w:pPr>
            <w:r w:rsidRPr="00680B1A">
              <w:rPr>
                <w:rFonts w:ascii="Palatino Linotype" w:hAnsi="Palatino Linotype"/>
              </w:rPr>
              <w:t>Comisionada</w:t>
            </w:r>
          </w:p>
          <w:p w:rsidR="0069019E" w:rsidRPr="00680B1A" w:rsidRDefault="0069019E" w:rsidP="002A165C">
            <w:pPr>
              <w:jc w:val="center"/>
              <w:rPr>
                <w:rFonts w:ascii="Palatino Linotype" w:hAnsi="Palatino Linotype"/>
              </w:rPr>
            </w:pPr>
            <w:r w:rsidRPr="00680B1A">
              <w:rPr>
                <w:rFonts w:ascii="Palatino Linotype" w:hAnsi="Palatino Linotype"/>
              </w:rPr>
              <w:t>(Rúbrica)</w:t>
            </w:r>
          </w:p>
        </w:tc>
        <w:tc>
          <w:tcPr>
            <w:tcW w:w="4419" w:type="dxa"/>
            <w:vAlign w:val="center"/>
          </w:tcPr>
          <w:p w:rsidR="0069019E" w:rsidRPr="00B6671F" w:rsidRDefault="0069019E" w:rsidP="002A165C">
            <w:pPr>
              <w:rPr>
                <w:rFonts w:ascii="Palatino Linotype" w:hAnsi="Palatino Linotype" w:cs="Arial"/>
                <w:b/>
              </w:rPr>
            </w:pPr>
          </w:p>
          <w:p w:rsidR="0069019E" w:rsidRPr="00B6671F" w:rsidRDefault="0069019E" w:rsidP="002A165C">
            <w:pPr>
              <w:jc w:val="center"/>
              <w:rPr>
                <w:rFonts w:ascii="Palatino Linotype" w:hAnsi="Palatino Linotype" w:cs="Arial"/>
                <w:b/>
              </w:rPr>
            </w:pPr>
          </w:p>
          <w:p w:rsidR="0069019E" w:rsidRPr="00B6671F" w:rsidRDefault="0069019E" w:rsidP="002A165C">
            <w:pPr>
              <w:jc w:val="center"/>
              <w:rPr>
                <w:rFonts w:ascii="Palatino Linotype" w:hAnsi="Palatino Linotype" w:cs="Arial"/>
                <w:b/>
              </w:rPr>
            </w:pPr>
          </w:p>
          <w:p w:rsidR="0069019E" w:rsidRPr="00B6671F" w:rsidRDefault="0069019E" w:rsidP="002A165C">
            <w:pPr>
              <w:rPr>
                <w:rFonts w:ascii="Palatino Linotype" w:hAnsi="Palatino Linotype" w:cs="Arial"/>
                <w:b/>
              </w:rPr>
            </w:pPr>
          </w:p>
          <w:p w:rsidR="0069019E" w:rsidRDefault="0069019E" w:rsidP="002A165C">
            <w:pPr>
              <w:jc w:val="center"/>
              <w:rPr>
                <w:rFonts w:ascii="Palatino Linotype" w:hAnsi="Palatino Linotype" w:cs="Arial"/>
                <w:b/>
              </w:rPr>
            </w:pPr>
          </w:p>
          <w:p w:rsidR="0069019E" w:rsidRPr="00B6671F" w:rsidRDefault="0069019E" w:rsidP="002A165C">
            <w:pPr>
              <w:jc w:val="center"/>
              <w:rPr>
                <w:rFonts w:ascii="Palatino Linotype" w:hAnsi="Palatino Linotype"/>
                <w:b/>
              </w:rPr>
            </w:pPr>
            <w:r w:rsidRPr="00B6671F">
              <w:rPr>
                <w:rFonts w:ascii="Palatino Linotype" w:hAnsi="Palatino Linotype" w:cs="Arial"/>
                <w:b/>
              </w:rPr>
              <w:t>José Guadalupe Luna Hernández</w:t>
            </w:r>
          </w:p>
          <w:p w:rsidR="0069019E" w:rsidRPr="00B6671F" w:rsidRDefault="0069019E" w:rsidP="002A165C">
            <w:pPr>
              <w:jc w:val="center"/>
              <w:rPr>
                <w:rFonts w:ascii="Palatino Linotype" w:hAnsi="Palatino Linotype"/>
              </w:rPr>
            </w:pPr>
            <w:r w:rsidRPr="00B6671F">
              <w:rPr>
                <w:rFonts w:ascii="Palatino Linotype" w:hAnsi="Palatino Linotype"/>
              </w:rPr>
              <w:t xml:space="preserve"> Comisionado</w:t>
            </w:r>
          </w:p>
          <w:p w:rsidR="0069019E" w:rsidRPr="00B6671F" w:rsidRDefault="0069019E" w:rsidP="002A165C">
            <w:pPr>
              <w:jc w:val="center"/>
              <w:rPr>
                <w:rFonts w:ascii="Palatino Linotype" w:hAnsi="Palatino Linotype"/>
              </w:rPr>
            </w:pPr>
            <w:r w:rsidRPr="00B6671F">
              <w:rPr>
                <w:rFonts w:ascii="Palatino Linotype" w:hAnsi="Palatino Linotype"/>
              </w:rPr>
              <w:t>(Rúbrica)</w:t>
            </w:r>
          </w:p>
          <w:p w:rsidR="0069019E" w:rsidRPr="00B6671F" w:rsidRDefault="0069019E" w:rsidP="002A165C">
            <w:pPr>
              <w:jc w:val="center"/>
              <w:rPr>
                <w:rFonts w:ascii="Palatino Linotype" w:hAnsi="Palatino Linotype"/>
              </w:rPr>
            </w:pPr>
          </w:p>
        </w:tc>
      </w:tr>
      <w:tr w:rsidR="0069019E" w:rsidRPr="00B6671F" w:rsidTr="002A165C">
        <w:trPr>
          <w:trHeight w:val="1953"/>
        </w:trPr>
        <w:tc>
          <w:tcPr>
            <w:tcW w:w="8838" w:type="dxa"/>
            <w:gridSpan w:val="2"/>
            <w:vAlign w:val="center"/>
          </w:tcPr>
          <w:p w:rsidR="0069019E" w:rsidRPr="00680B1A" w:rsidRDefault="0069019E" w:rsidP="002A165C">
            <w:pPr>
              <w:rPr>
                <w:rFonts w:ascii="Palatino Linotype" w:hAnsi="Palatino Linotype" w:cs="Arial"/>
                <w:b/>
              </w:rPr>
            </w:pPr>
          </w:p>
          <w:p w:rsidR="0069019E" w:rsidRDefault="0069019E" w:rsidP="002A165C">
            <w:pPr>
              <w:jc w:val="center"/>
              <w:rPr>
                <w:rFonts w:ascii="Palatino Linotype" w:hAnsi="Palatino Linotype" w:cs="Arial"/>
                <w:b/>
              </w:rPr>
            </w:pPr>
          </w:p>
          <w:p w:rsidR="0069019E" w:rsidRPr="00680B1A" w:rsidRDefault="0069019E" w:rsidP="002A165C">
            <w:pPr>
              <w:jc w:val="center"/>
              <w:rPr>
                <w:rFonts w:ascii="Palatino Linotype" w:hAnsi="Palatino Linotype" w:cs="Arial"/>
                <w:b/>
              </w:rPr>
            </w:pPr>
          </w:p>
          <w:p w:rsidR="0069019E" w:rsidRPr="00680B1A" w:rsidRDefault="0069019E" w:rsidP="002A165C">
            <w:pPr>
              <w:jc w:val="center"/>
              <w:rPr>
                <w:rFonts w:ascii="Palatino Linotype" w:hAnsi="Palatino Linotype" w:cs="Arial"/>
                <w:b/>
              </w:rPr>
            </w:pPr>
          </w:p>
          <w:p w:rsidR="0069019E" w:rsidRPr="00680B1A" w:rsidRDefault="0069019E" w:rsidP="002A165C">
            <w:pPr>
              <w:jc w:val="both"/>
              <w:rPr>
                <w:rFonts w:ascii="Palatino Linotype" w:hAnsi="Palatino Linotype" w:cs="Arial"/>
                <w:b/>
              </w:rPr>
            </w:pPr>
            <w:r w:rsidRPr="00680B1A">
              <w:rPr>
                <w:rFonts w:ascii="Palatino Linotype" w:hAnsi="Palatino Linotype" w:cs="Arial"/>
                <w:b/>
              </w:rPr>
              <w:t xml:space="preserve">                                    </w:t>
            </w:r>
          </w:p>
          <w:p w:rsidR="0069019E" w:rsidRPr="00680B1A" w:rsidRDefault="0069019E" w:rsidP="002A165C">
            <w:pPr>
              <w:jc w:val="both"/>
              <w:rPr>
                <w:rFonts w:ascii="Palatino Linotype" w:hAnsi="Palatino Linotype" w:cs="Arial"/>
                <w:b/>
              </w:rPr>
            </w:pPr>
            <w:r w:rsidRPr="00680B1A">
              <w:rPr>
                <w:rFonts w:ascii="Palatino Linotype" w:hAnsi="Palatino Linotype" w:cs="Arial"/>
                <w:b/>
              </w:rPr>
              <w:t xml:space="preserve">                                                   </w:t>
            </w:r>
          </w:p>
          <w:p w:rsidR="0069019E" w:rsidRDefault="0069019E" w:rsidP="002A165C">
            <w:pPr>
              <w:jc w:val="both"/>
              <w:rPr>
                <w:rFonts w:ascii="Palatino Linotype" w:hAnsi="Palatino Linotype" w:cs="Arial"/>
                <w:b/>
              </w:rPr>
            </w:pPr>
            <w:r w:rsidRPr="00680B1A">
              <w:rPr>
                <w:rFonts w:ascii="Palatino Linotype" w:hAnsi="Palatino Linotype" w:cs="Arial"/>
                <w:b/>
              </w:rPr>
              <w:t xml:space="preserve">                                                                    </w:t>
            </w:r>
          </w:p>
          <w:p w:rsidR="0069019E" w:rsidRPr="00680B1A" w:rsidRDefault="0069019E" w:rsidP="002A165C">
            <w:pPr>
              <w:jc w:val="both"/>
              <w:rPr>
                <w:rFonts w:ascii="Palatino Linotype" w:hAnsi="Palatino Linotype" w:cs="Arial"/>
                <w:b/>
              </w:rPr>
            </w:pPr>
            <w:r w:rsidRPr="00680B1A">
              <w:rPr>
                <w:rFonts w:ascii="Palatino Linotype" w:hAnsi="Palatino Linotype" w:cs="Arial"/>
                <w:b/>
              </w:rPr>
              <w:t xml:space="preserve">                 </w:t>
            </w:r>
          </w:p>
          <w:p w:rsidR="0069019E" w:rsidRPr="00680B1A" w:rsidRDefault="0069019E" w:rsidP="002A165C">
            <w:pPr>
              <w:rPr>
                <w:rFonts w:ascii="Palatino Linotype" w:hAnsi="Palatino Linotype" w:cs="Arial"/>
                <w:b/>
              </w:rPr>
            </w:pPr>
            <w:r w:rsidRPr="00680B1A">
              <w:rPr>
                <w:rFonts w:ascii="Palatino Linotype" w:hAnsi="Palatino Linotype" w:cs="Arial"/>
                <w:b/>
              </w:rPr>
              <w:t xml:space="preserve">            Javier Martínez Cruz    </w:t>
            </w:r>
            <w:r>
              <w:rPr>
                <w:rFonts w:ascii="Palatino Linotype" w:hAnsi="Palatino Linotype" w:cs="Arial"/>
                <w:b/>
              </w:rPr>
              <w:t xml:space="preserve">                           </w:t>
            </w:r>
            <w:r w:rsidRPr="00680B1A">
              <w:rPr>
                <w:rFonts w:ascii="Palatino Linotype" w:hAnsi="Palatino Linotype" w:cs="Arial"/>
                <w:b/>
              </w:rPr>
              <w:t xml:space="preserve">  </w:t>
            </w:r>
            <w:r>
              <w:rPr>
                <w:rFonts w:ascii="Palatino Linotype" w:hAnsi="Palatino Linotype" w:cs="Arial"/>
                <w:b/>
              </w:rPr>
              <w:t>Luis Gustavo Parra Noriega</w:t>
            </w:r>
            <w:r w:rsidRPr="00680B1A">
              <w:rPr>
                <w:rFonts w:ascii="Palatino Linotype" w:hAnsi="Palatino Linotype" w:cs="Arial"/>
                <w:b/>
              </w:rPr>
              <w:t xml:space="preserve"> </w:t>
            </w:r>
          </w:p>
          <w:p w:rsidR="0069019E" w:rsidRPr="00680B1A" w:rsidRDefault="0069019E" w:rsidP="002A165C">
            <w:pPr>
              <w:rPr>
                <w:rFonts w:ascii="Palatino Linotype" w:hAnsi="Palatino Linotype" w:cs="Arial"/>
                <w:b/>
              </w:rPr>
            </w:pPr>
            <w:r w:rsidRPr="00680B1A">
              <w:rPr>
                <w:rFonts w:ascii="Palatino Linotype" w:hAnsi="Palatino Linotype" w:cs="Arial"/>
              </w:rPr>
              <w:t xml:space="preserve">                  Comisionado</w:t>
            </w:r>
            <w:r w:rsidRPr="00680B1A">
              <w:rPr>
                <w:rFonts w:ascii="Palatino Linotype" w:hAnsi="Palatino Linotype" w:cs="Arial"/>
                <w:b/>
              </w:rPr>
              <w:t xml:space="preserve">                                                        </w:t>
            </w:r>
            <w:proofErr w:type="spellStart"/>
            <w:r>
              <w:rPr>
                <w:rFonts w:ascii="Palatino Linotype" w:hAnsi="Palatino Linotype" w:cs="Arial"/>
              </w:rPr>
              <w:t>Comisionado</w:t>
            </w:r>
            <w:proofErr w:type="spellEnd"/>
            <w:r w:rsidRPr="00680B1A">
              <w:rPr>
                <w:rFonts w:ascii="Palatino Linotype" w:hAnsi="Palatino Linotype" w:cs="Arial"/>
                <w:b/>
              </w:rPr>
              <w:t xml:space="preserve">                                 </w:t>
            </w:r>
          </w:p>
          <w:p w:rsidR="0069019E" w:rsidRPr="00680B1A" w:rsidRDefault="0069019E" w:rsidP="002A165C">
            <w:pPr>
              <w:rPr>
                <w:rFonts w:ascii="Palatino Linotype" w:hAnsi="Palatino Linotype" w:cs="Arial"/>
              </w:rPr>
            </w:pPr>
            <w:r w:rsidRPr="00680B1A">
              <w:rPr>
                <w:rFonts w:ascii="Palatino Linotype" w:hAnsi="Palatino Linotype" w:cs="Arial"/>
              </w:rPr>
              <w:t xml:space="preserve">                     </w:t>
            </w:r>
            <w:r w:rsidRPr="00680B1A">
              <w:rPr>
                <w:rFonts w:ascii="Palatino Linotype" w:hAnsi="Palatino Linotype"/>
              </w:rPr>
              <w:t xml:space="preserve">(Rúbrica)             </w:t>
            </w:r>
            <w:r w:rsidRPr="00680B1A">
              <w:rPr>
                <w:rFonts w:ascii="Palatino Linotype" w:hAnsi="Palatino Linotype" w:cs="Arial"/>
              </w:rPr>
              <w:t xml:space="preserve">                  </w:t>
            </w:r>
            <w:r>
              <w:rPr>
                <w:rFonts w:ascii="Palatino Linotype" w:hAnsi="Palatino Linotype" w:cs="Arial"/>
              </w:rPr>
              <w:t xml:space="preserve">                     </w:t>
            </w:r>
            <w:r w:rsidRPr="00680B1A">
              <w:rPr>
                <w:rFonts w:ascii="Palatino Linotype" w:hAnsi="Palatino Linotype" w:cs="Arial"/>
              </w:rPr>
              <w:t xml:space="preserve"> </w:t>
            </w:r>
            <w:r>
              <w:rPr>
                <w:rFonts w:ascii="Palatino Linotype" w:hAnsi="Palatino Linotype" w:cs="Arial"/>
              </w:rPr>
              <w:t xml:space="preserve">            </w:t>
            </w:r>
            <w:r w:rsidRPr="00680B1A">
              <w:rPr>
                <w:rFonts w:ascii="Palatino Linotype" w:hAnsi="Palatino Linotype"/>
              </w:rPr>
              <w:t>(</w:t>
            </w:r>
            <w:r>
              <w:rPr>
                <w:rFonts w:ascii="Palatino Linotype" w:hAnsi="Palatino Linotype"/>
              </w:rPr>
              <w:t>Rúbrica</w:t>
            </w:r>
            <w:r w:rsidRPr="00680B1A">
              <w:rPr>
                <w:rFonts w:ascii="Palatino Linotype" w:hAnsi="Palatino Linotype"/>
              </w:rPr>
              <w:t>)</w:t>
            </w:r>
          </w:p>
          <w:p w:rsidR="0069019E" w:rsidRPr="00680B1A" w:rsidRDefault="0069019E" w:rsidP="002A165C">
            <w:pPr>
              <w:rPr>
                <w:rFonts w:ascii="Palatino Linotype" w:hAnsi="Palatino Linotype"/>
              </w:rPr>
            </w:pPr>
            <w:r w:rsidRPr="00680B1A">
              <w:rPr>
                <w:rFonts w:ascii="Palatino Linotype" w:hAnsi="Palatino Linotype"/>
              </w:rPr>
              <w:lastRenderedPageBreak/>
              <w:t xml:space="preserve">                                                                                          </w:t>
            </w:r>
          </w:p>
        </w:tc>
      </w:tr>
      <w:tr w:rsidR="0069019E" w:rsidRPr="00B6671F" w:rsidTr="002A165C">
        <w:trPr>
          <w:trHeight w:val="1544"/>
        </w:trPr>
        <w:tc>
          <w:tcPr>
            <w:tcW w:w="8838" w:type="dxa"/>
            <w:gridSpan w:val="2"/>
            <w:vAlign w:val="center"/>
          </w:tcPr>
          <w:p w:rsidR="0069019E" w:rsidRPr="00680B1A" w:rsidRDefault="0069019E" w:rsidP="002A165C">
            <w:pPr>
              <w:jc w:val="center"/>
              <w:rPr>
                <w:rFonts w:ascii="Palatino Linotype" w:hAnsi="Palatino Linotype" w:cs="Arial"/>
                <w:b/>
              </w:rPr>
            </w:pPr>
          </w:p>
          <w:p w:rsidR="0069019E" w:rsidRDefault="0069019E" w:rsidP="002A165C">
            <w:pPr>
              <w:rPr>
                <w:rFonts w:ascii="Palatino Linotype" w:hAnsi="Palatino Linotype" w:cs="Arial"/>
                <w:b/>
              </w:rPr>
            </w:pPr>
          </w:p>
          <w:p w:rsidR="0069019E" w:rsidRDefault="0069019E" w:rsidP="002A165C">
            <w:pPr>
              <w:rPr>
                <w:rFonts w:ascii="Palatino Linotype" w:hAnsi="Palatino Linotype" w:cs="Arial"/>
                <w:b/>
              </w:rPr>
            </w:pPr>
          </w:p>
          <w:p w:rsidR="0069019E" w:rsidRDefault="0069019E" w:rsidP="002A165C">
            <w:pPr>
              <w:rPr>
                <w:rFonts w:ascii="Palatino Linotype" w:hAnsi="Palatino Linotype" w:cs="Arial"/>
                <w:b/>
              </w:rPr>
            </w:pPr>
          </w:p>
          <w:p w:rsidR="0069019E" w:rsidRDefault="0069019E" w:rsidP="002A165C">
            <w:pPr>
              <w:rPr>
                <w:rFonts w:ascii="Palatino Linotype" w:hAnsi="Palatino Linotype" w:cs="Arial"/>
                <w:b/>
              </w:rPr>
            </w:pPr>
          </w:p>
          <w:p w:rsidR="0069019E" w:rsidRDefault="0069019E" w:rsidP="002A165C">
            <w:pPr>
              <w:rPr>
                <w:rFonts w:ascii="Palatino Linotype" w:hAnsi="Palatino Linotype" w:cs="Arial"/>
                <w:b/>
              </w:rPr>
            </w:pPr>
          </w:p>
          <w:p w:rsidR="0069019E" w:rsidRDefault="0069019E" w:rsidP="002A165C">
            <w:pPr>
              <w:rPr>
                <w:rFonts w:ascii="Palatino Linotype" w:hAnsi="Palatino Linotype" w:cs="Arial"/>
                <w:b/>
              </w:rPr>
            </w:pPr>
          </w:p>
          <w:p w:rsidR="0069019E" w:rsidRPr="00680B1A" w:rsidRDefault="0069019E" w:rsidP="002A165C">
            <w:pPr>
              <w:rPr>
                <w:rFonts w:ascii="Palatino Linotype" w:hAnsi="Palatino Linotype" w:cs="Arial"/>
                <w:b/>
              </w:rPr>
            </w:pPr>
          </w:p>
          <w:p w:rsidR="0069019E" w:rsidRPr="00680B1A" w:rsidRDefault="0069019E" w:rsidP="002A165C">
            <w:pPr>
              <w:jc w:val="center"/>
              <w:rPr>
                <w:rFonts w:ascii="Palatino Linotype" w:hAnsi="Palatino Linotype"/>
                <w:b/>
              </w:rPr>
            </w:pPr>
            <w:r>
              <w:rPr>
                <w:rFonts w:ascii="Palatino Linotype" w:hAnsi="Palatino Linotype" w:cs="Arial"/>
                <w:b/>
              </w:rPr>
              <w:t>Alexis Tapia Ramírez</w:t>
            </w:r>
          </w:p>
          <w:p w:rsidR="0069019E" w:rsidRPr="00680B1A" w:rsidRDefault="0069019E" w:rsidP="002A165C">
            <w:pPr>
              <w:jc w:val="center"/>
              <w:rPr>
                <w:rFonts w:ascii="Palatino Linotype" w:hAnsi="Palatino Linotype"/>
              </w:rPr>
            </w:pPr>
            <w:r>
              <w:rPr>
                <w:rFonts w:ascii="Palatino Linotype" w:hAnsi="Palatino Linotype"/>
              </w:rPr>
              <w:t>Secretario Técnico</w:t>
            </w:r>
            <w:r w:rsidRPr="00680B1A">
              <w:rPr>
                <w:rFonts w:ascii="Palatino Linotype" w:hAnsi="Palatino Linotype"/>
              </w:rPr>
              <w:t xml:space="preserve"> del Pleno</w:t>
            </w:r>
          </w:p>
          <w:p w:rsidR="0069019E" w:rsidRPr="00680B1A" w:rsidRDefault="0069019E" w:rsidP="002A165C">
            <w:pPr>
              <w:jc w:val="center"/>
              <w:rPr>
                <w:rFonts w:ascii="Palatino Linotype" w:hAnsi="Palatino Linotype"/>
              </w:rPr>
            </w:pPr>
            <w:r w:rsidRPr="00680B1A">
              <w:rPr>
                <w:rFonts w:ascii="Palatino Linotype" w:hAnsi="Palatino Linotype"/>
              </w:rPr>
              <w:t>(Rúbrica)</w:t>
            </w:r>
          </w:p>
          <w:p w:rsidR="0069019E" w:rsidRPr="00680B1A" w:rsidRDefault="0069019E" w:rsidP="002A165C">
            <w:pPr>
              <w:jc w:val="center"/>
              <w:rPr>
                <w:rFonts w:ascii="Palatino Linotype" w:hAnsi="Palatino Linotype"/>
              </w:rPr>
            </w:pPr>
          </w:p>
        </w:tc>
      </w:tr>
    </w:tbl>
    <w:p w:rsidR="0069019E" w:rsidRPr="006556E6" w:rsidRDefault="0069019E" w:rsidP="0069019E">
      <w:pPr>
        <w:jc w:val="both"/>
        <w:rPr>
          <w:rFonts w:ascii="Palatino Linotype" w:hAnsi="Palatino Linotype" w:cs="Arial"/>
        </w:rPr>
      </w:pPr>
    </w:p>
    <w:p w:rsidR="0069019E" w:rsidRDefault="0069019E" w:rsidP="0069019E">
      <w:pPr>
        <w:jc w:val="both"/>
        <w:rPr>
          <w:rFonts w:ascii="Palatino Linotype" w:hAnsi="Palatino Linotype" w:cs="Arial"/>
        </w:rPr>
      </w:pPr>
    </w:p>
    <w:p w:rsidR="0069019E" w:rsidRDefault="0069019E" w:rsidP="0069019E">
      <w:pPr>
        <w:jc w:val="both"/>
        <w:rPr>
          <w:rFonts w:ascii="Palatino Linotype" w:hAnsi="Palatino Linotype" w:cs="Arial"/>
        </w:rPr>
      </w:pPr>
    </w:p>
    <w:p w:rsidR="0069019E" w:rsidRDefault="0069019E" w:rsidP="0069019E">
      <w:pPr>
        <w:jc w:val="both"/>
        <w:rPr>
          <w:rFonts w:ascii="Palatino Linotype" w:hAnsi="Palatino Linotype" w:cs="Arial"/>
        </w:rPr>
      </w:pPr>
    </w:p>
    <w:p w:rsidR="0069019E" w:rsidRPr="00840993" w:rsidRDefault="0069019E" w:rsidP="0069019E">
      <w:pPr>
        <w:jc w:val="both"/>
        <w:rPr>
          <w:rFonts w:ascii="Palatino Linotype" w:hAnsi="Palatino Linotype" w:cs="Arial"/>
        </w:rPr>
      </w:pPr>
      <w:r w:rsidRPr="006556E6">
        <w:rPr>
          <w:rFonts w:ascii="Palatino Linotype" w:hAnsi="Palatino Linotype" w:cs="Arial"/>
        </w:rPr>
        <w:t xml:space="preserve">Esta hoja corresponde a la resolución de </w:t>
      </w:r>
      <w:r w:rsidR="00FA2800">
        <w:t xml:space="preserve">treinta de enero </w:t>
      </w:r>
      <w:r w:rsidRPr="006556E6">
        <w:rPr>
          <w:rFonts w:ascii="Palatino Linotype" w:hAnsi="Palatino Linotype" w:cs="Arial"/>
        </w:rPr>
        <w:t>de dos mil dieci</w:t>
      </w:r>
      <w:r w:rsidR="00FA2800">
        <w:rPr>
          <w:rFonts w:ascii="Palatino Linotype" w:hAnsi="Palatino Linotype" w:cs="Arial"/>
        </w:rPr>
        <w:t>nueve</w:t>
      </w:r>
      <w:r w:rsidRPr="006556E6">
        <w:rPr>
          <w:rFonts w:ascii="Palatino Linotype" w:hAnsi="Palatino Linotype" w:cs="Arial"/>
        </w:rPr>
        <w:t xml:space="preserve">, emitida en el recurso de revisión </w:t>
      </w:r>
      <w:r>
        <w:rPr>
          <w:rFonts w:ascii="Palatino Linotype" w:hAnsi="Palatino Linotype" w:cs="Arial"/>
          <w:b/>
          <w:bCs/>
        </w:rPr>
        <w:t>0</w:t>
      </w:r>
      <w:r w:rsidR="00FA2800">
        <w:rPr>
          <w:rFonts w:ascii="Palatino Linotype" w:hAnsi="Palatino Linotype" w:cs="Arial"/>
          <w:b/>
          <w:bCs/>
        </w:rPr>
        <w:t>4414</w:t>
      </w:r>
      <w:r>
        <w:rPr>
          <w:rFonts w:ascii="Palatino Linotype" w:hAnsi="Palatino Linotype" w:cs="Arial"/>
          <w:b/>
          <w:bCs/>
        </w:rPr>
        <w:t>/INFOEM/IP/RR/2018</w:t>
      </w:r>
      <w:r w:rsidRPr="006556E6">
        <w:rPr>
          <w:rFonts w:ascii="Palatino Linotype" w:hAnsi="Palatino Linotype" w:cs="Arial"/>
        </w:rPr>
        <w:t>.</w:t>
      </w:r>
    </w:p>
    <w:p w:rsidR="00C2192E" w:rsidRDefault="00C2192E"/>
    <w:sectPr w:rsidR="00C2192E" w:rsidSect="002A165C">
      <w:headerReference w:type="default" r:id="rId14"/>
      <w:footerReference w:type="default" r:id="rId15"/>
      <w:headerReference w:type="first" r:id="rId16"/>
      <w:footerReference w:type="first" r:id="rId17"/>
      <w:pgSz w:w="12240" w:h="15840"/>
      <w:pgMar w:top="1985" w:right="1701" w:bottom="1701"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E646D" w:rsidRDefault="005E646D" w:rsidP="0069019E">
      <w:r>
        <w:separator/>
      </w:r>
    </w:p>
  </w:endnote>
  <w:endnote w:type="continuationSeparator" w:id="0">
    <w:p w:rsidR="005E646D" w:rsidRDefault="005E646D" w:rsidP="006901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Bookman Old Style,Bold">
    <w:panose1 w:val="00000000000000000000"/>
    <w:charset w:val="00"/>
    <w:family w:val="swiss"/>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165C" w:rsidRDefault="002A165C" w:rsidP="002A165C">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0869CD">
      <w:rPr>
        <w:rFonts w:ascii="Arial" w:hAnsi="Arial" w:cs="Arial"/>
        <w:b/>
        <w:bCs/>
        <w:noProof/>
        <w:sz w:val="20"/>
        <w:szCs w:val="20"/>
      </w:rPr>
      <w:t>41</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0869CD">
      <w:rPr>
        <w:rFonts w:ascii="Arial" w:hAnsi="Arial" w:cs="Arial"/>
        <w:b/>
        <w:bCs/>
        <w:noProof/>
        <w:sz w:val="20"/>
        <w:szCs w:val="20"/>
      </w:rPr>
      <w:t>42</w:t>
    </w:r>
    <w:r>
      <w:rPr>
        <w:rFonts w:ascii="Arial" w:hAnsi="Arial" w:cs="Arial"/>
        <w:b/>
        <w:bCs/>
        <w:sz w:val="20"/>
        <w:szCs w:val="20"/>
      </w:rPr>
      <w:fldChar w:fldCharType="end"/>
    </w:r>
  </w:p>
  <w:p w:rsidR="002A165C" w:rsidRDefault="002A165C" w:rsidP="002A165C">
    <w:pPr>
      <w:pStyle w:val="Piedepgina"/>
      <w:rPr>
        <w:rFonts w:ascii="Times New Roman" w:hAnsi="Times New Roman" w:cs="Times New Roman"/>
      </w:rPr>
    </w:pPr>
  </w:p>
  <w:p w:rsidR="002A165C" w:rsidRDefault="002A165C" w:rsidP="002A165C">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165C" w:rsidRDefault="002A165C" w:rsidP="002A165C">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0869CD">
      <w:rPr>
        <w:rFonts w:ascii="Arial" w:hAnsi="Arial" w:cs="Arial"/>
        <w:b/>
        <w:bCs/>
        <w:noProof/>
        <w:sz w:val="20"/>
        <w:szCs w:val="20"/>
      </w:rPr>
      <w:t>1</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0869CD">
      <w:rPr>
        <w:rFonts w:ascii="Arial" w:hAnsi="Arial" w:cs="Arial"/>
        <w:b/>
        <w:bCs/>
        <w:noProof/>
        <w:sz w:val="20"/>
        <w:szCs w:val="20"/>
      </w:rPr>
      <w:t>42</w:t>
    </w:r>
    <w:r>
      <w:rPr>
        <w:rFonts w:ascii="Arial" w:hAnsi="Arial" w:cs="Arial"/>
        <w:b/>
        <w:bCs/>
        <w:sz w:val="20"/>
        <w:szCs w:val="20"/>
      </w:rPr>
      <w:fldChar w:fldCharType="end"/>
    </w:r>
  </w:p>
  <w:p w:rsidR="002A165C" w:rsidRDefault="002A165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E646D" w:rsidRDefault="005E646D" w:rsidP="0069019E">
      <w:r>
        <w:separator/>
      </w:r>
    </w:p>
  </w:footnote>
  <w:footnote w:type="continuationSeparator" w:id="0">
    <w:p w:rsidR="005E646D" w:rsidRDefault="005E646D" w:rsidP="0069019E">
      <w:r>
        <w:continuationSeparator/>
      </w:r>
    </w:p>
  </w:footnote>
  <w:footnote w:id="1">
    <w:p w:rsidR="002A165C" w:rsidRPr="00125A39" w:rsidRDefault="002A165C" w:rsidP="00125A39">
      <w:pPr>
        <w:autoSpaceDE w:val="0"/>
        <w:autoSpaceDN w:val="0"/>
        <w:adjustRightInd w:val="0"/>
        <w:ind w:right="51"/>
        <w:jc w:val="both"/>
        <w:rPr>
          <w:rFonts w:ascii="Palatino Linotype" w:hAnsi="Palatino Linotype" w:cs="Arial"/>
          <w:bCs/>
          <w:i/>
          <w:sz w:val="18"/>
          <w:szCs w:val="18"/>
        </w:rPr>
      </w:pPr>
      <w:r>
        <w:rPr>
          <w:rStyle w:val="Refdenotaalpie"/>
        </w:rPr>
        <w:footnoteRef/>
      </w:r>
      <w:r>
        <w:t xml:space="preserve"> </w:t>
      </w:r>
      <w:r w:rsidRPr="00125A39">
        <w:rPr>
          <w:rFonts w:ascii="Palatino Linotype" w:hAnsi="Palatino Linotype" w:cs="Arial"/>
          <w:bCs/>
          <w:i/>
          <w:sz w:val="18"/>
          <w:szCs w:val="18"/>
        </w:rPr>
        <w:t>“</w:t>
      </w:r>
      <w:r w:rsidRPr="00125A39">
        <w:rPr>
          <w:rFonts w:ascii="Palatino Linotype" w:hAnsi="Palatino Linotype" w:cs="Arial"/>
          <w:b/>
          <w:bCs/>
          <w:i/>
          <w:sz w:val="18"/>
          <w:szCs w:val="18"/>
        </w:rPr>
        <w:t>Artículo 349.-</w:t>
      </w:r>
      <w:r w:rsidRPr="00125A39">
        <w:rPr>
          <w:rFonts w:ascii="Palatino Linotype" w:hAnsi="Palatino Linotype" w:cs="Arial"/>
          <w:bCs/>
          <w:i/>
          <w:sz w:val="18"/>
          <w:szCs w:val="18"/>
        </w:rPr>
        <w:t xml:space="preserve"> Las Dependencias, Entidades Públicas y unidades administrativas proporcionarán con la periodicidad que determinen la Secretaría y las tesorerías, la información contable que comprenderá la patrimonial y presupuestal, para la integración de los estados financieros. </w:t>
      </w:r>
    </w:p>
    <w:p w:rsidR="002A165C" w:rsidRPr="00125A39" w:rsidRDefault="002A165C" w:rsidP="00125A39">
      <w:pPr>
        <w:autoSpaceDE w:val="0"/>
        <w:autoSpaceDN w:val="0"/>
        <w:adjustRightInd w:val="0"/>
        <w:ind w:right="51"/>
        <w:jc w:val="both"/>
        <w:rPr>
          <w:rFonts w:ascii="Palatino Linotype" w:hAnsi="Palatino Linotype" w:cs="Arial"/>
          <w:bCs/>
          <w:i/>
          <w:sz w:val="18"/>
          <w:szCs w:val="18"/>
        </w:rPr>
      </w:pPr>
      <w:r w:rsidRPr="00125A39">
        <w:rPr>
          <w:rFonts w:ascii="Palatino Linotype" w:hAnsi="Palatino Linotype" w:cs="Arial"/>
          <w:bCs/>
          <w:i/>
          <w:sz w:val="18"/>
          <w:szCs w:val="18"/>
        </w:rPr>
        <w:t xml:space="preserve"> En caso de que no se proporcione la información o la que reciban no cumpla con la forma y plazos establecidos por éstas, podrán suspender la ministración de recursos, hasta en tanto se regularicen. </w:t>
      </w:r>
    </w:p>
    <w:p w:rsidR="002A165C" w:rsidRPr="00125A39" w:rsidRDefault="002A165C" w:rsidP="00125A39">
      <w:pPr>
        <w:autoSpaceDE w:val="0"/>
        <w:autoSpaceDN w:val="0"/>
        <w:adjustRightInd w:val="0"/>
        <w:ind w:right="51"/>
        <w:jc w:val="both"/>
        <w:rPr>
          <w:rFonts w:ascii="Palatino Linotype" w:hAnsi="Palatino Linotype" w:cs="Arial"/>
          <w:bCs/>
          <w:i/>
          <w:sz w:val="18"/>
          <w:szCs w:val="18"/>
        </w:rPr>
      </w:pPr>
      <w:r w:rsidRPr="00125A39">
        <w:rPr>
          <w:rFonts w:ascii="Palatino Linotype" w:hAnsi="Palatino Linotype" w:cs="Arial"/>
          <w:b/>
          <w:bCs/>
          <w:i/>
          <w:sz w:val="18"/>
          <w:szCs w:val="18"/>
        </w:rPr>
        <w:t>Artículo 350.-</w:t>
      </w:r>
      <w:r w:rsidRPr="00125A39">
        <w:rPr>
          <w:rFonts w:ascii="Palatino Linotype" w:hAnsi="Palatino Linotype" w:cs="Arial"/>
          <w:bCs/>
          <w:i/>
          <w:sz w:val="18"/>
          <w:szCs w:val="18"/>
        </w:rPr>
        <w:t xml:space="preserve"> Mensualmente dentro de los primeros veinte días hábiles, la Secretaría y las Tesorerías, enviarán para su análisis y evaluación al Órgano Superior de Fiscalización del Estado de México, la siguiente información: </w:t>
      </w:r>
    </w:p>
    <w:p w:rsidR="002A165C" w:rsidRPr="00125A39" w:rsidRDefault="002A165C" w:rsidP="00125A39">
      <w:pPr>
        <w:autoSpaceDE w:val="0"/>
        <w:autoSpaceDN w:val="0"/>
        <w:adjustRightInd w:val="0"/>
        <w:ind w:right="51"/>
        <w:jc w:val="both"/>
        <w:rPr>
          <w:rFonts w:ascii="Palatino Linotype" w:hAnsi="Palatino Linotype" w:cs="Arial"/>
          <w:bCs/>
          <w:i/>
          <w:sz w:val="18"/>
          <w:szCs w:val="18"/>
        </w:rPr>
      </w:pPr>
      <w:r w:rsidRPr="00125A39">
        <w:rPr>
          <w:rFonts w:ascii="Palatino Linotype" w:hAnsi="Palatino Linotype" w:cs="Arial"/>
          <w:bCs/>
          <w:i/>
          <w:sz w:val="18"/>
          <w:szCs w:val="18"/>
        </w:rPr>
        <w:t xml:space="preserve">I. Información patrimonial. </w:t>
      </w:r>
    </w:p>
    <w:p w:rsidR="002A165C" w:rsidRPr="00125A39" w:rsidRDefault="002A165C" w:rsidP="00125A39">
      <w:pPr>
        <w:autoSpaceDE w:val="0"/>
        <w:autoSpaceDN w:val="0"/>
        <w:adjustRightInd w:val="0"/>
        <w:ind w:right="51"/>
        <w:jc w:val="both"/>
        <w:rPr>
          <w:rFonts w:ascii="Palatino Linotype" w:hAnsi="Palatino Linotype" w:cs="Arial"/>
          <w:bCs/>
          <w:i/>
          <w:sz w:val="18"/>
          <w:szCs w:val="18"/>
        </w:rPr>
      </w:pPr>
      <w:r w:rsidRPr="00125A39">
        <w:rPr>
          <w:rFonts w:ascii="Palatino Linotype" w:hAnsi="Palatino Linotype" w:cs="Arial"/>
          <w:bCs/>
          <w:i/>
          <w:sz w:val="18"/>
          <w:szCs w:val="18"/>
        </w:rPr>
        <w:t xml:space="preserve">II. Información presupuestal. </w:t>
      </w:r>
    </w:p>
    <w:p w:rsidR="002A165C" w:rsidRPr="00125A39" w:rsidRDefault="002A165C" w:rsidP="00125A39">
      <w:pPr>
        <w:autoSpaceDE w:val="0"/>
        <w:autoSpaceDN w:val="0"/>
        <w:adjustRightInd w:val="0"/>
        <w:ind w:right="51"/>
        <w:jc w:val="both"/>
        <w:rPr>
          <w:rFonts w:ascii="Palatino Linotype" w:hAnsi="Palatino Linotype" w:cs="Arial"/>
          <w:bCs/>
          <w:i/>
          <w:sz w:val="18"/>
          <w:szCs w:val="18"/>
        </w:rPr>
      </w:pPr>
      <w:r w:rsidRPr="00125A39">
        <w:rPr>
          <w:rFonts w:ascii="Palatino Linotype" w:hAnsi="Palatino Linotype" w:cs="Arial"/>
          <w:bCs/>
          <w:i/>
          <w:sz w:val="18"/>
          <w:szCs w:val="18"/>
        </w:rPr>
        <w:t xml:space="preserve">III. Información de la obra pública. </w:t>
      </w:r>
    </w:p>
    <w:p w:rsidR="002A165C" w:rsidRPr="00125A39" w:rsidRDefault="002A165C" w:rsidP="00125A39">
      <w:pPr>
        <w:autoSpaceDE w:val="0"/>
        <w:autoSpaceDN w:val="0"/>
        <w:adjustRightInd w:val="0"/>
        <w:ind w:right="51"/>
        <w:jc w:val="both"/>
        <w:rPr>
          <w:i/>
          <w:sz w:val="18"/>
          <w:szCs w:val="18"/>
        </w:rPr>
      </w:pPr>
      <w:r w:rsidRPr="00125A39">
        <w:rPr>
          <w:rFonts w:ascii="Palatino Linotype" w:hAnsi="Palatino Linotype" w:cs="Arial"/>
          <w:bCs/>
          <w:i/>
          <w:sz w:val="18"/>
          <w:szCs w:val="18"/>
        </w:rPr>
        <w:t xml:space="preserve">IV. Información de nómina. </w:t>
      </w:r>
      <w:r w:rsidRPr="00125A39">
        <w:rPr>
          <w:rFonts w:ascii="Palatino Linotype" w:hAnsi="Palatino Linotype" w:cs="Arial"/>
          <w:bCs/>
          <w:i/>
          <w:sz w:val="18"/>
          <w:szCs w:val="18"/>
        </w:rPr>
        <w:cr/>
      </w:r>
      <w:r w:rsidRPr="00125A39">
        <w:rPr>
          <w:rFonts w:ascii="Palatino Linotype" w:hAnsi="Palatino Linotype" w:cs="Arial"/>
          <w:i/>
          <w:sz w:val="18"/>
          <w:szCs w:val="18"/>
        </w:rPr>
        <w:t xml:space="preserve">(…)” </w:t>
      </w:r>
    </w:p>
  </w:footnote>
  <w:footnote w:id="2">
    <w:p w:rsidR="006A05CF" w:rsidRPr="00312EFF" w:rsidRDefault="006A05CF" w:rsidP="006A05CF">
      <w:pPr>
        <w:spacing w:after="120"/>
        <w:ind w:right="-93"/>
        <w:jc w:val="both"/>
        <w:rPr>
          <w:rFonts w:ascii="Palatino Linotype" w:hAnsi="Palatino Linotype"/>
          <w:i/>
          <w:sz w:val="16"/>
          <w:szCs w:val="16"/>
        </w:rPr>
      </w:pPr>
      <w:r w:rsidRPr="00312EFF">
        <w:rPr>
          <w:rStyle w:val="Refdenotaalpie"/>
          <w:sz w:val="16"/>
          <w:szCs w:val="16"/>
        </w:rPr>
        <w:footnoteRef/>
      </w:r>
      <w:r w:rsidRPr="00312EFF">
        <w:rPr>
          <w:sz w:val="16"/>
          <w:szCs w:val="16"/>
        </w:rPr>
        <w:t xml:space="preserve"> </w:t>
      </w:r>
      <w:r w:rsidRPr="00312EFF">
        <w:rPr>
          <w:rFonts w:ascii="Palatino Linotype" w:hAnsi="Palatino Linotype"/>
          <w:b/>
          <w:i/>
          <w:sz w:val="16"/>
          <w:szCs w:val="16"/>
        </w:rPr>
        <w:t>"AGRAVIOS EN LA REVISION. DEBEN ESTAR EN RELACION DIRECTA CON LOS FUNDAMENTOS Y CONSIDERACIONES DE LA SENTENCIA.-</w:t>
      </w:r>
      <w:r w:rsidRPr="00312EFF">
        <w:rPr>
          <w:rFonts w:ascii="Palatino Linotype" w:hAnsi="Palatino Linotype"/>
          <w:i/>
          <w:sz w:val="16"/>
          <w:szCs w:val="16"/>
        </w:rPr>
        <w:t xml:space="preserve"> Los agravios deben estar en relación directa e inmediata con los fundamentos contenidos en la sentencia que se recurre, y forzosamente deben contener, no sólo la cita de las disposiciones legales que se estimen infringidas y su concepto, sino también la concordancia entre aquellas, este y las consideraciones que fundamenten esa propia sentencia, pues de adoptar lo contrario, resultaría la introducción de nuevas cuestiones en la revisión, que no constituyen su materia, toda vez que esta se limita al estudio integral del fallo que se combate, con vista de los motivos de inconformidad que plantean los recurrentes."</w:t>
      </w:r>
    </w:p>
    <w:p w:rsidR="006A05CF" w:rsidRDefault="006A05CF" w:rsidP="006A05CF">
      <w:pPr>
        <w:pStyle w:val="Textonotapie"/>
      </w:pPr>
    </w:p>
  </w:footnote>
  <w:footnote w:id="3">
    <w:p w:rsidR="006A05CF" w:rsidRPr="00D439E6" w:rsidRDefault="006A05CF" w:rsidP="006A05CF">
      <w:pPr>
        <w:pStyle w:val="Textonotapie"/>
        <w:rPr>
          <w:rFonts w:ascii="Palatino Linotype" w:hAnsi="Palatino Linotype"/>
          <w:sz w:val="16"/>
          <w:szCs w:val="16"/>
        </w:rPr>
      </w:pPr>
      <w:r>
        <w:rPr>
          <w:rStyle w:val="Refdenotaalpie"/>
        </w:rPr>
        <w:footnoteRef/>
      </w:r>
      <w:r>
        <w:t xml:space="preserve"> </w:t>
      </w:r>
      <w:r w:rsidRPr="00D439E6">
        <w:rPr>
          <w:rFonts w:ascii="Palatino Linotype" w:hAnsi="Palatino Linotype"/>
          <w:i/>
          <w:sz w:val="16"/>
          <w:szCs w:val="16"/>
        </w:rPr>
        <w:t>Artículo 163. La Unidad de Transparencia deberá notificar la respuesta a la solicitud al interesado en el menor tiempo posible, que no podrá exceder de quince días hábiles, contados a partir del día siguiente a la presentación de aquélla.</w:t>
      </w:r>
      <w:r>
        <w:rPr>
          <w:rFonts w:ascii="Palatino Linotype" w:hAnsi="Palatino Linotype"/>
          <w:i/>
          <w:sz w:val="16"/>
          <w:szCs w:val="16"/>
        </w:rPr>
        <w:t xml:space="preserve"> </w:t>
      </w:r>
      <w:r>
        <w:rPr>
          <w:rFonts w:ascii="Palatino Linotype" w:hAnsi="Palatino Linotype"/>
          <w:sz w:val="16"/>
          <w:szCs w:val="16"/>
        </w:rPr>
        <w:t xml:space="preserve"> De la Ley de Transparencia y Acceso a la Información Pública del estado de México y Municipios.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528" w:type="dxa"/>
      <w:tblInd w:w="3261" w:type="dxa"/>
      <w:tblLayout w:type="fixed"/>
      <w:tblLook w:val="04A0" w:firstRow="1" w:lastRow="0" w:firstColumn="1" w:lastColumn="0" w:noHBand="0" w:noVBand="1"/>
    </w:tblPr>
    <w:tblGrid>
      <w:gridCol w:w="2552"/>
      <w:gridCol w:w="2976"/>
    </w:tblGrid>
    <w:tr w:rsidR="002A165C" w:rsidTr="002A165C">
      <w:tc>
        <w:tcPr>
          <w:tcW w:w="2552" w:type="dxa"/>
          <w:vAlign w:val="center"/>
          <w:hideMark/>
        </w:tcPr>
        <w:p w:rsidR="002A165C" w:rsidRDefault="002A165C" w:rsidP="002A165C">
          <w:pPr>
            <w:rPr>
              <w:rFonts w:ascii="Palatino Linotype" w:hAnsi="Palatino Linotype"/>
              <w:b/>
              <w:sz w:val="22"/>
              <w:szCs w:val="22"/>
              <w:lang w:val="es-ES_tradnl"/>
            </w:rPr>
          </w:pPr>
          <w:r>
            <w:rPr>
              <w:rFonts w:ascii="Palatino Linotype" w:hAnsi="Palatino Linotype"/>
              <w:b/>
              <w:sz w:val="22"/>
              <w:szCs w:val="22"/>
              <w:lang w:val="es-ES_tradnl"/>
            </w:rPr>
            <w:t>Recurso de Revisión:</w:t>
          </w:r>
        </w:p>
      </w:tc>
      <w:tc>
        <w:tcPr>
          <w:tcW w:w="2976" w:type="dxa"/>
          <w:vAlign w:val="center"/>
          <w:hideMark/>
        </w:tcPr>
        <w:p w:rsidR="002A165C" w:rsidRDefault="002A165C" w:rsidP="00FA2800">
          <w:pPr>
            <w:jc w:val="both"/>
            <w:rPr>
              <w:rFonts w:ascii="Palatino Linotype" w:hAnsi="Palatino Linotype"/>
              <w:b/>
              <w:sz w:val="22"/>
              <w:szCs w:val="22"/>
              <w:lang w:val="es-ES_tradnl"/>
            </w:rPr>
          </w:pPr>
          <w:r>
            <w:rPr>
              <w:rFonts w:ascii="Palatino Linotype" w:hAnsi="Palatino Linotype"/>
              <w:b/>
              <w:sz w:val="22"/>
              <w:szCs w:val="22"/>
              <w:lang w:val="es-ES_tradnl"/>
            </w:rPr>
            <w:t xml:space="preserve">04414/INFOEM/IP/RR/2018 </w:t>
          </w:r>
        </w:p>
      </w:tc>
    </w:tr>
    <w:tr w:rsidR="002A165C" w:rsidTr="002A165C">
      <w:trPr>
        <w:trHeight w:val="228"/>
      </w:trPr>
      <w:tc>
        <w:tcPr>
          <w:tcW w:w="2552" w:type="dxa"/>
          <w:vAlign w:val="center"/>
          <w:hideMark/>
        </w:tcPr>
        <w:p w:rsidR="002A165C" w:rsidRDefault="002A165C" w:rsidP="002A165C">
          <w:pPr>
            <w:rPr>
              <w:rFonts w:ascii="Palatino Linotype" w:hAnsi="Palatino Linotype"/>
              <w:b/>
              <w:sz w:val="22"/>
              <w:szCs w:val="22"/>
              <w:lang w:val="es-ES_tradnl"/>
            </w:rPr>
          </w:pPr>
          <w:r>
            <w:rPr>
              <w:rFonts w:ascii="Palatino Linotype" w:hAnsi="Palatino Linotype"/>
              <w:b/>
              <w:sz w:val="22"/>
              <w:szCs w:val="22"/>
              <w:lang w:val="es-ES_tradnl"/>
            </w:rPr>
            <w:t>Sujeto obligado:</w:t>
          </w:r>
        </w:p>
      </w:tc>
      <w:tc>
        <w:tcPr>
          <w:tcW w:w="2976" w:type="dxa"/>
          <w:vAlign w:val="center"/>
          <w:hideMark/>
        </w:tcPr>
        <w:p w:rsidR="002A165C" w:rsidRDefault="002A165C" w:rsidP="00FA2800">
          <w:pPr>
            <w:jc w:val="both"/>
            <w:rPr>
              <w:rFonts w:ascii="Palatino Linotype" w:hAnsi="Palatino Linotype"/>
              <w:b/>
              <w:sz w:val="22"/>
              <w:szCs w:val="22"/>
              <w:lang w:val="es-ES_tradnl"/>
            </w:rPr>
          </w:pPr>
          <w:r>
            <w:rPr>
              <w:rFonts w:ascii="Palatino Linotype" w:hAnsi="Palatino Linotype"/>
              <w:b/>
              <w:sz w:val="22"/>
              <w:szCs w:val="22"/>
              <w:lang w:val="es-ES_tradnl"/>
            </w:rPr>
            <w:t>Ayuntamiento de Isidro Fabela.</w:t>
          </w:r>
        </w:p>
      </w:tc>
    </w:tr>
    <w:tr w:rsidR="002A165C" w:rsidTr="002A165C">
      <w:tc>
        <w:tcPr>
          <w:tcW w:w="2552" w:type="dxa"/>
          <w:vAlign w:val="center"/>
          <w:hideMark/>
        </w:tcPr>
        <w:p w:rsidR="002A165C" w:rsidRDefault="002A165C" w:rsidP="002A165C">
          <w:pPr>
            <w:rPr>
              <w:rFonts w:ascii="Palatino Linotype" w:hAnsi="Palatino Linotype"/>
              <w:b/>
              <w:sz w:val="22"/>
              <w:szCs w:val="22"/>
              <w:lang w:val="es-ES_tradnl"/>
            </w:rPr>
          </w:pPr>
          <w:r>
            <w:rPr>
              <w:rFonts w:ascii="Palatino Linotype" w:hAnsi="Palatino Linotype"/>
              <w:b/>
              <w:sz w:val="22"/>
              <w:szCs w:val="22"/>
              <w:lang w:val="es-ES_tradnl"/>
            </w:rPr>
            <w:t>Comisionado ponente:</w:t>
          </w:r>
        </w:p>
      </w:tc>
      <w:tc>
        <w:tcPr>
          <w:tcW w:w="2976" w:type="dxa"/>
          <w:vAlign w:val="center"/>
          <w:hideMark/>
        </w:tcPr>
        <w:p w:rsidR="002A165C" w:rsidRDefault="002A165C" w:rsidP="002A165C">
          <w:pPr>
            <w:ind w:right="-533"/>
            <w:jc w:val="both"/>
            <w:rPr>
              <w:rFonts w:ascii="Palatino Linotype" w:hAnsi="Palatino Linotype"/>
              <w:b/>
              <w:sz w:val="22"/>
              <w:szCs w:val="22"/>
              <w:lang w:val="es-ES_tradnl"/>
            </w:rPr>
          </w:pPr>
          <w:r>
            <w:rPr>
              <w:rFonts w:ascii="Palatino Linotype" w:hAnsi="Palatino Linotype"/>
              <w:b/>
              <w:sz w:val="22"/>
              <w:szCs w:val="22"/>
              <w:lang w:val="es-ES_tradnl"/>
            </w:rPr>
            <w:t>Javier Martínez Cruz</w:t>
          </w:r>
        </w:p>
      </w:tc>
    </w:tr>
  </w:tbl>
  <w:p w:rsidR="002A165C" w:rsidRDefault="002A165C" w:rsidP="002A165C">
    <w:pPr>
      <w:pStyle w:val="Encabezado"/>
      <w:tabs>
        <w:tab w:val="clear" w:pos="4252"/>
        <w:tab w:val="clear" w:pos="8504"/>
        <w:tab w:val="left" w:pos="2326"/>
      </w:tabs>
    </w:pPr>
    <w:r>
      <w:rPr>
        <w:noProof/>
        <w:lang w:val="es-MX" w:eastAsia="es-MX"/>
      </w:rPr>
      <w:drawing>
        <wp:anchor distT="0" distB="0" distL="114300" distR="114300" simplePos="0" relativeHeight="251659264" behindDoc="1" locked="0" layoutInCell="1" allowOverlap="1" wp14:anchorId="7F607BE3" wp14:editId="337DBB76">
          <wp:simplePos x="0" y="0"/>
          <wp:positionH relativeFrom="margin">
            <wp:align>center</wp:align>
          </wp:positionH>
          <wp:positionV relativeFrom="paragraph">
            <wp:posOffset>-1249680</wp:posOffset>
          </wp:positionV>
          <wp:extent cx="7635163" cy="9944100"/>
          <wp:effectExtent l="0" t="0" r="4445" b="0"/>
          <wp:wrapNone/>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ja Membretada nueva2 181115.jpg"/>
                  <pic:cNvPicPr/>
                </pic:nvPicPr>
                <pic:blipFill>
                  <a:blip r:embed="rId1">
                    <a:extLst>
                      <a:ext uri="{28A0092B-C50C-407E-A947-70E740481C1C}">
                        <a14:useLocalDpi xmlns:a14="http://schemas.microsoft.com/office/drawing/2010/main" val="0"/>
                      </a:ext>
                    </a:extLst>
                  </a:blip>
                  <a:stretch>
                    <a:fillRect/>
                  </a:stretch>
                </pic:blipFill>
                <pic:spPr>
                  <a:xfrm>
                    <a:off x="0" y="0"/>
                    <a:ext cx="7635163" cy="994410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165C" w:rsidRDefault="002A165C" w:rsidP="002A165C">
    <w:pPr>
      <w:pStyle w:val="Encabezado"/>
      <w:jc w:val="both"/>
    </w:pPr>
    <w:r>
      <w:rPr>
        <w:noProof/>
        <w:lang w:val="es-MX" w:eastAsia="es-MX"/>
      </w:rPr>
      <w:drawing>
        <wp:anchor distT="0" distB="0" distL="114300" distR="114300" simplePos="0" relativeHeight="251660288" behindDoc="1" locked="0" layoutInCell="1" allowOverlap="1" wp14:anchorId="7B353059" wp14:editId="428CBE38">
          <wp:simplePos x="0" y="0"/>
          <wp:positionH relativeFrom="page">
            <wp:align>left</wp:align>
          </wp:positionH>
          <wp:positionV relativeFrom="paragraph">
            <wp:posOffset>-438785</wp:posOffset>
          </wp:positionV>
          <wp:extent cx="7635600" cy="9943200"/>
          <wp:effectExtent l="0" t="0" r="3810" b="1270"/>
          <wp:wrapNone/>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600" cy="9943200"/>
                  </a:xfrm>
                  <a:prstGeom prst="rect">
                    <a:avLst/>
                  </a:prstGeom>
                  <a:noFill/>
                </pic:spPr>
              </pic:pic>
            </a:graphicData>
          </a:graphic>
          <wp14:sizeRelH relativeFrom="page">
            <wp14:pctWidth>0</wp14:pctWidth>
          </wp14:sizeRelH>
          <wp14:sizeRelV relativeFrom="page">
            <wp14:pctHeight>0</wp14:pctHeight>
          </wp14:sizeRelV>
        </wp:anchor>
      </w:drawing>
    </w:r>
    <w:r>
      <w:t xml:space="preserve">                                  </w:t>
    </w:r>
  </w:p>
  <w:tbl>
    <w:tblPr>
      <w:tblW w:w="6238" w:type="dxa"/>
      <w:tblInd w:w="3119" w:type="dxa"/>
      <w:tblLayout w:type="fixed"/>
      <w:tblLook w:val="04A0" w:firstRow="1" w:lastRow="0" w:firstColumn="1" w:lastColumn="0" w:noHBand="0" w:noVBand="1"/>
    </w:tblPr>
    <w:tblGrid>
      <w:gridCol w:w="2551"/>
      <w:gridCol w:w="3687"/>
    </w:tblGrid>
    <w:tr w:rsidR="002A165C" w:rsidRPr="00294C56" w:rsidTr="002A165C">
      <w:tc>
        <w:tcPr>
          <w:tcW w:w="2551" w:type="dxa"/>
          <w:vAlign w:val="center"/>
          <w:hideMark/>
        </w:tcPr>
        <w:p w:rsidR="002A165C" w:rsidRPr="00294C56" w:rsidRDefault="002A165C" w:rsidP="002A165C">
          <w:pPr>
            <w:rPr>
              <w:rFonts w:ascii="Palatino Linotype" w:hAnsi="Palatino Linotype"/>
              <w:b/>
              <w:sz w:val="21"/>
              <w:szCs w:val="21"/>
              <w:lang w:val="es-ES_tradnl"/>
            </w:rPr>
          </w:pPr>
          <w:r w:rsidRPr="00294C56">
            <w:rPr>
              <w:rFonts w:ascii="Palatino Linotype" w:hAnsi="Palatino Linotype"/>
              <w:b/>
              <w:sz w:val="21"/>
              <w:szCs w:val="21"/>
              <w:lang w:val="es-ES_tradnl"/>
            </w:rPr>
            <w:t>Recurso de Revisión:</w:t>
          </w:r>
        </w:p>
      </w:tc>
      <w:tc>
        <w:tcPr>
          <w:tcW w:w="3687" w:type="dxa"/>
          <w:vAlign w:val="center"/>
          <w:hideMark/>
        </w:tcPr>
        <w:p w:rsidR="002A165C" w:rsidRPr="00294C56" w:rsidRDefault="002A165C" w:rsidP="00352C44">
          <w:pPr>
            <w:jc w:val="both"/>
            <w:rPr>
              <w:rFonts w:ascii="Palatino Linotype" w:hAnsi="Palatino Linotype"/>
              <w:b/>
              <w:sz w:val="21"/>
              <w:szCs w:val="21"/>
              <w:lang w:val="es-ES_tradnl"/>
            </w:rPr>
          </w:pPr>
          <w:r w:rsidRPr="00294C56">
            <w:rPr>
              <w:rFonts w:ascii="Palatino Linotype" w:hAnsi="Palatino Linotype"/>
              <w:b/>
              <w:sz w:val="21"/>
              <w:szCs w:val="21"/>
              <w:lang w:val="es-ES_tradnl"/>
            </w:rPr>
            <w:t>0</w:t>
          </w:r>
          <w:r>
            <w:rPr>
              <w:rFonts w:ascii="Palatino Linotype" w:hAnsi="Palatino Linotype"/>
              <w:b/>
              <w:sz w:val="21"/>
              <w:szCs w:val="21"/>
              <w:lang w:val="es-ES_tradnl"/>
            </w:rPr>
            <w:t>4414/INFOEM/IP/RR/2018</w:t>
          </w:r>
        </w:p>
      </w:tc>
    </w:tr>
    <w:tr w:rsidR="002A165C" w:rsidRPr="00294C56" w:rsidTr="002A165C">
      <w:tc>
        <w:tcPr>
          <w:tcW w:w="2551" w:type="dxa"/>
          <w:vAlign w:val="center"/>
          <w:hideMark/>
        </w:tcPr>
        <w:p w:rsidR="002A165C" w:rsidRPr="00294C56" w:rsidRDefault="002A165C" w:rsidP="002A165C">
          <w:pPr>
            <w:ind w:left="35" w:hanging="35"/>
            <w:rPr>
              <w:rFonts w:ascii="Palatino Linotype" w:hAnsi="Palatino Linotype"/>
              <w:b/>
              <w:sz w:val="21"/>
              <w:szCs w:val="21"/>
              <w:lang w:val="es-ES_tradnl"/>
            </w:rPr>
          </w:pPr>
          <w:r w:rsidRPr="00294C56">
            <w:rPr>
              <w:rFonts w:ascii="Palatino Linotype" w:hAnsi="Palatino Linotype"/>
              <w:b/>
              <w:sz w:val="21"/>
              <w:szCs w:val="21"/>
              <w:lang w:val="es-ES_tradnl"/>
            </w:rPr>
            <w:t>Recurrente:</w:t>
          </w:r>
        </w:p>
      </w:tc>
      <w:tc>
        <w:tcPr>
          <w:tcW w:w="3687" w:type="dxa"/>
          <w:vAlign w:val="center"/>
          <w:hideMark/>
        </w:tcPr>
        <w:p w:rsidR="002A165C" w:rsidRPr="00294C56" w:rsidRDefault="000869CD" w:rsidP="000869CD">
          <w:pPr>
            <w:jc w:val="both"/>
            <w:rPr>
              <w:rFonts w:ascii="Palatino Linotype" w:hAnsi="Palatino Linotype"/>
              <w:b/>
              <w:sz w:val="21"/>
              <w:szCs w:val="21"/>
              <w:lang w:val="es-ES_tradnl"/>
            </w:rPr>
          </w:pPr>
          <w:r>
            <w:rPr>
              <w:rFonts w:ascii="Palatino Linotype" w:hAnsi="Palatino Linotype"/>
              <w:b/>
              <w:sz w:val="21"/>
              <w:szCs w:val="21"/>
              <w:lang w:val="es-ES_tradnl"/>
            </w:rPr>
            <w:t>XXXXXXX XXXXXXXXX XXXXX XXXXXX</w:t>
          </w:r>
        </w:p>
      </w:tc>
    </w:tr>
    <w:tr w:rsidR="002A165C" w:rsidRPr="00294C56" w:rsidTr="002A165C">
      <w:trPr>
        <w:trHeight w:val="228"/>
      </w:trPr>
      <w:tc>
        <w:tcPr>
          <w:tcW w:w="2551" w:type="dxa"/>
          <w:vAlign w:val="center"/>
          <w:hideMark/>
        </w:tcPr>
        <w:p w:rsidR="002A165C" w:rsidRPr="00294C56" w:rsidRDefault="002A165C" w:rsidP="002A165C">
          <w:pPr>
            <w:rPr>
              <w:rFonts w:ascii="Palatino Linotype" w:hAnsi="Palatino Linotype"/>
              <w:b/>
              <w:sz w:val="21"/>
              <w:szCs w:val="21"/>
              <w:lang w:val="es-ES_tradnl"/>
            </w:rPr>
          </w:pPr>
          <w:r w:rsidRPr="00294C56">
            <w:rPr>
              <w:rFonts w:ascii="Palatino Linotype" w:hAnsi="Palatino Linotype"/>
              <w:b/>
              <w:sz w:val="21"/>
              <w:szCs w:val="21"/>
              <w:lang w:val="es-ES_tradnl"/>
            </w:rPr>
            <w:t>Sujeto obligado:</w:t>
          </w:r>
        </w:p>
      </w:tc>
      <w:tc>
        <w:tcPr>
          <w:tcW w:w="3687" w:type="dxa"/>
          <w:vAlign w:val="center"/>
          <w:hideMark/>
        </w:tcPr>
        <w:p w:rsidR="002A165C" w:rsidRPr="00294C56" w:rsidRDefault="002A165C" w:rsidP="00352C44">
          <w:pPr>
            <w:jc w:val="both"/>
            <w:rPr>
              <w:rFonts w:ascii="Palatino Linotype" w:hAnsi="Palatino Linotype"/>
              <w:b/>
              <w:sz w:val="21"/>
              <w:szCs w:val="21"/>
              <w:lang w:val="es-ES_tradnl"/>
            </w:rPr>
          </w:pPr>
          <w:r>
            <w:rPr>
              <w:rFonts w:ascii="Palatino Linotype" w:hAnsi="Palatino Linotype"/>
              <w:b/>
              <w:sz w:val="21"/>
              <w:szCs w:val="21"/>
              <w:lang w:val="es-ES_tradnl"/>
            </w:rPr>
            <w:t>Ayuntamiento de Isidro Fabela</w:t>
          </w:r>
        </w:p>
      </w:tc>
    </w:tr>
    <w:tr w:rsidR="002A165C" w:rsidRPr="00294C56" w:rsidTr="002A165C">
      <w:tc>
        <w:tcPr>
          <w:tcW w:w="2551" w:type="dxa"/>
          <w:vAlign w:val="center"/>
          <w:hideMark/>
        </w:tcPr>
        <w:p w:rsidR="002A165C" w:rsidRPr="00294C56" w:rsidRDefault="002A165C" w:rsidP="002A165C">
          <w:pPr>
            <w:rPr>
              <w:rFonts w:ascii="Palatino Linotype" w:hAnsi="Palatino Linotype"/>
              <w:b/>
              <w:sz w:val="21"/>
              <w:szCs w:val="21"/>
              <w:lang w:val="es-ES_tradnl"/>
            </w:rPr>
          </w:pPr>
          <w:r w:rsidRPr="00294C56">
            <w:rPr>
              <w:rFonts w:ascii="Palatino Linotype" w:hAnsi="Palatino Linotype"/>
              <w:b/>
              <w:sz w:val="21"/>
              <w:szCs w:val="21"/>
              <w:lang w:val="es-ES_tradnl"/>
            </w:rPr>
            <w:t>Comisionado ponente:</w:t>
          </w:r>
        </w:p>
      </w:tc>
      <w:tc>
        <w:tcPr>
          <w:tcW w:w="3687" w:type="dxa"/>
          <w:vAlign w:val="center"/>
          <w:hideMark/>
        </w:tcPr>
        <w:p w:rsidR="002A165C" w:rsidRPr="00294C56" w:rsidRDefault="002A165C" w:rsidP="002A165C">
          <w:pPr>
            <w:ind w:right="-533"/>
            <w:jc w:val="both"/>
            <w:rPr>
              <w:rFonts w:ascii="Palatino Linotype" w:hAnsi="Palatino Linotype"/>
              <w:b/>
              <w:sz w:val="21"/>
              <w:szCs w:val="21"/>
              <w:lang w:val="es-ES_tradnl"/>
            </w:rPr>
          </w:pPr>
          <w:r w:rsidRPr="00294C56">
            <w:rPr>
              <w:rFonts w:ascii="Palatino Linotype" w:hAnsi="Palatino Linotype"/>
              <w:b/>
              <w:sz w:val="21"/>
              <w:szCs w:val="21"/>
              <w:lang w:val="es-ES_tradnl"/>
            </w:rPr>
            <w:t>Javier Martínez Cruz</w:t>
          </w:r>
        </w:p>
      </w:tc>
    </w:tr>
  </w:tbl>
  <w:p w:rsidR="002A165C" w:rsidRDefault="002A165C" w:rsidP="002A165C">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B33E69"/>
    <w:multiLevelType w:val="hybridMultilevel"/>
    <w:tmpl w:val="16285B8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29863FAE"/>
    <w:multiLevelType w:val="hybridMultilevel"/>
    <w:tmpl w:val="EB98A30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2A343C8E"/>
    <w:multiLevelType w:val="hybridMultilevel"/>
    <w:tmpl w:val="40EAB9B8"/>
    <w:lvl w:ilvl="0" w:tplc="5AA8475A">
      <w:start w:val="1"/>
      <w:numFmt w:val="decimal"/>
      <w:lvlText w:val="%1)"/>
      <w:lvlJc w:val="left"/>
      <w:pPr>
        <w:ind w:left="927" w:hanging="360"/>
      </w:pPr>
      <w:rPr>
        <w:rFonts w:ascii="Arial" w:eastAsia="Calibri" w:hAnsi="Arial" w:cs="Arial"/>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
    <w:nsid w:val="343E79AF"/>
    <w:multiLevelType w:val="hybridMultilevel"/>
    <w:tmpl w:val="1FA2DF0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4664361A"/>
    <w:multiLevelType w:val="hybridMultilevel"/>
    <w:tmpl w:val="5D7E27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687F14CE"/>
    <w:multiLevelType w:val="hybridMultilevel"/>
    <w:tmpl w:val="E6C0D1C0"/>
    <w:lvl w:ilvl="0" w:tplc="69E27CA2">
      <w:start w:val="1"/>
      <w:numFmt w:val="upperRoman"/>
      <w:lvlText w:val="%1."/>
      <w:lvlJc w:val="left"/>
      <w:pPr>
        <w:ind w:left="1080" w:hanging="72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754E7197"/>
    <w:multiLevelType w:val="hybridMultilevel"/>
    <w:tmpl w:val="E9C49A9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792B42BB"/>
    <w:multiLevelType w:val="hybridMultilevel"/>
    <w:tmpl w:val="29C6D890"/>
    <w:lvl w:ilvl="0" w:tplc="294A887A">
      <w:start w:val="1"/>
      <w:numFmt w:val="lowerLetter"/>
      <w:lvlText w:val="%1)"/>
      <w:lvlJc w:val="left"/>
      <w:pPr>
        <w:ind w:left="720" w:hanging="360"/>
      </w:pPr>
      <w:rPr>
        <w:rFonts w:eastAsia="MS Mincho" w:cs="Times New Roman"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7C510E96"/>
    <w:multiLevelType w:val="hybridMultilevel"/>
    <w:tmpl w:val="5E94E8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5"/>
  </w:num>
  <w:num w:numId="2">
    <w:abstractNumId w:val="1"/>
  </w:num>
  <w:num w:numId="3">
    <w:abstractNumId w:val="4"/>
  </w:num>
  <w:num w:numId="4">
    <w:abstractNumId w:val="3"/>
  </w:num>
  <w:num w:numId="5">
    <w:abstractNumId w:val="2"/>
  </w:num>
  <w:num w:numId="6">
    <w:abstractNumId w:val="6"/>
  </w:num>
  <w:num w:numId="7">
    <w:abstractNumId w:val="7"/>
  </w:num>
  <w:num w:numId="8">
    <w:abstractNumId w:val="0"/>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019E"/>
    <w:rsid w:val="00015ABF"/>
    <w:rsid w:val="000869CD"/>
    <w:rsid w:val="000B2D3F"/>
    <w:rsid w:val="000E4850"/>
    <w:rsid w:val="00125A39"/>
    <w:rsid w:val="001812A2"/>
    <w:rsid w:val="00211B41"/>
    <w:rsid w:val="00271FC5"/>
    <w:rsid w:val="002A165C"/>
    <w:rsid w:val="00352C44"/>
    <w:rsid w:val="004F30FE"/>
    <w:rsid w:val="004F5E28"/>
    <w:rsid w:val="004F790F"/>
    <w:rsid w:val="00596E98"/>
    <w:rsid w:val="005E646D"/>
    <w:rsid w:val="00641593"/>
    <w:rsid w:val="00651C3E"/>
    <w:rsid w:val="00680C3E"/>
    <w:rsid w:val="006859BC"/>
    <w:rsid w:val="0069019E"/>
    <w:rsid w:val="006A05CF"/>
    <w:rsid w:val="006C0B96"/>
    <w:rsid w:val="00725355"/>
    <w:rsid w:val="00737D5C"/>
    <w:rsid w:val="00743224"/>
    <w:rsid w:val="00782548"/>
    <w:rsid w:val="008A3A52"/>
    <w:rsid w:val="00A40DDC"/>
    <w:rsid w:val="00B54DD6"/>
    <w:rsid w:val="00B91A79"/>
    <w:rsid w:val="00C2192E"/>
    <w:rsid w:val="00C27182"/>
    <w:rsid w:val="00CD57B5"/>
    <w:rsid w:val="00E52E49"/>
    <w:rsid w:val="00E64E51"/>
    <w:rsid w:val="00F06DB5"/>
    <w:rsid w:val="00F208D1"/>
    <w:rsid w:val="00F529F2"/>
    <w:rsid w:val="00F85BEB"/>
    <w:rsid w:val="00FA2800"/>
    <w:rsid w:val="00FC1A8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2E04F42-8810-4A98-ACE4-2CD01AD5C0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06DB5"/>
    <w:pPr>
      <w:spacing w:after="0" w:line="240" w:lineRule="auto"/>
    </w:pPr>
    <w:rPr>
      <w:rFonts w:ascii="Times New Roman" w:eastAsia="Times New Roman" w:hAnsi="Times New Roman" w:cs="Times New Roman"/>
      <w:sz w:val="24"/>
      <w:szCs w:val="24"/>
      <w:lang w:val="es-ES" w:eastAsia="es-ES"/>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9019E"/>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69019E"/>
    <w:rPr>
      <w:rFonts w:eastAsiaTheme="minorEastAsia"/>
      <w:sz w:val="24"/>
      <w:szCs w:val="24"/>
      <w:lang w:val="es-ES_tradnl" w:eastAsia="es-ES"/>
    </w:rPr>
  </w:style>
  <w:style w:type="paragraph" w:styleId="Piedepgina">
    <w:name w:val="footer"/>
    <w:basedOn w:val="Normal"/>
    <w:link w:val="PiedepginaCar"/>
    <w:uiPriority w:val="99"/>
    <w:unhideWhenUsed/>
    <w:rsid w:val="0069019E"/>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69019E"/>
    <w:rPr>
      <w:rFonts w:eastAsiaTheme="minorEastAsia"/>
      <w:sz w:val="24"/>
      <w:szCs w:val="24"/>
      <w:lang w:val="es-ES_tradnl"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69019E"/>
    <w:rPr>
      <w:rFonts w:ascii="Times New Roman" w:eastAsia="Times New Roman" w:hAnsi="Times New Roman" w:cs="Times New Roman"/>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72"/>
    <w:qFormat/>
    <w:rsid w:val="0069019E"/>
    <w:pPr>
      <w:ind w:left="708"/>
    </w:pPr>
    <w:rPr>
      <w:sz w:val="22"/>
      <w:szCs w:val="22"/>
      <w:lang w:val="es-MX" w:eastAsia="en-US"/>
    </w:rPr>
  </w:style>
  <w:style w:type="table" w:styleId="Tablaconcuadrcula">
    <w:name w:val="Table Grid"/>
    <w:basedOn w:val="Tablanormal"/>
    <w:uiPriority w:val="59"/>
    <w:rsid w:val="0069019E"/>
    <w:pPr>
      <w:spacing w:after="0" w:line="240" w:lineRule="auto"/>
    </w:pPr>
    <w:rPr>
      <w:rFonts w:eastAsiaTheme="minorEastAsia"/>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rmaltextrun">
    <w:name w:val="normaltextrun"/>
    <w:basedOn w:val="Fuentedeprrafopredeter"/>
    <w:rsid w:val="0069019E"/>
  </w:style>
  <w:style w:type="character" w:customStyle="1" w:styleId="apple-converted-space">
    <w:name w:val="apple-converted-space"/>
    <w:basedOn w:val="Fuentedeprrafopredeter"/>
    <w:rsid w:val="0069019E"/>
  </w:style>
  <w:style w:type="character" w:styleId="Hipervnculo">
    <w:name w:val="Hyperlink"/>
    <w:basedOn w:val="Fuentedeprrafopredeter"/>
    <w:uiPriority w:val="99"/>
    <w:unhideWhenUsed/>
    <w:rsid w:val="0069019E"/>
    <w:rPr>
      <w:color w:val="0000FF"/>
      <w:u w:val="single"/>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rsid w:val="0069019E"/>
    <w:rPr>
      <w:vertAlign w:val="superscript"/>
    </w:rPr>
  </w:style>
  <w:style w:type="paragraph" w:styleId="NormalWeb">
    <w:name w:val="Normal (Web)"/>
    <w:basedOn w:val="Normal"/>
    <w:uiPriority w:val="99"/>
    <w:unhideWhenUsed/>
    <w:rsid w:val="0069019E"/>
    <w:pPr>
      <w:spacing w:before="100" w:beforeAutospacing="1" w:after="100" w:afterAutospacing="1"/>
    </w:pPr>
    <w:rPr>
      <w:lang w:val="es-MX" w:eastAsia="es-MX"/>
    </w:rPr>
  </w:style>
  <w:style w:type="paragraph" w:customStyle="1" w:styleId="Texto">
    <w:name w:val="Texto"/>
    <w:basedOn w:val="Normal"/>
    <w:rsid w:val="0069019E"/>
    <w:pPr>
      <w:spacing w:after="101" w:line="216" w:lineRule="exact"/>
      <w:ind w:firstLine="288"/>
      <w:jc w:val="both"/>
    </w:pPr>
    <w:rPr>
      <w:rFonts w:ascii="Arial" w:hAnsi="Arial" w:cs="Arial"/>
      <w:sz w:val="18"/>
      <w:szCs w:val="18"/>
      <w:lang w:val="es-MX"/>
    </w:rPr>
  </w:style>
  <w:style w:type="paragraph" w:styleId="Textosinformato">
    <w:name w:val="Plain Text"/>
    <w:basedOn w:val="Normal"/>
    <w:link w:val="TextosinformatoCar"/>
    <w:rsid w:val="0069019E"/>
    <w:rPr>
      <w:rFonts w:ascii="Courier New" w:hAnsi="Courier New"/>
      <w:sz w:val="20"/>
      <w:szCs w:val="20"/>
    </w:rPr>
  </w:style>
  <w:style w:type="character" w:customStyle="1" w:styleId="TextosinformatoCar">
    <w:name w:val="Texto sin formato Car"/>
    <w:basedOn w:val="Fuentedeprrafopredeter"/>
    <w:link w:val="Textosinformato"/>
    <w:rsid w:val="0069019E"/>
    <w:rPr>
      <w:rFonts w:ascii="Courier New" w:eastAsia="Times New Roman" w:hAnsi="Courier New" w:cs="Times New Roman"/>
      <w:sz w:val="20"/>
      <w:szCs w:val="20"/>
      <w:lang w:val="es-ES" w:eastAsia="es-ES"/>
    </w:rPr>
  </w:style>
  <w:style w:type="paragraph" w:styleId="Sinespaciado">
    <w:name w:val="No Spacing"/>
    <w:aliases w:val="Francesa"/>
    <w:link w:val="SinespaciadoCar"/>
    <w:uiPriority w:val="1"/>
    <w:qFormat/>
    <w:rsid w:val="0069019E"/>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
    <w:link w:val="Sinespaciado"/>
    <w:uiPriority w:val="1"/>
    <w:locked/>
    <w:rsid w:val="0069019E"/>
    <w:rPr>
      <w:rFonts w:ascii="Times New Roman" w:eastAsia="Times New Roman" w:hAnsi="Times New Roman" w:cs="Times New Roman"/>
      <w:sz w:val="24"/>
      <w:szCs w:val="24"/>
      <w:lang w:eastAsia="es-ES"/>
    </w:rPr>
  </w:style>
  <w:style w:type="paragraph" w:customStyle="1" w:styleId="Default">
    <w:name w:val="Default"/>
    <w:rsid w:val="0069019E"/>
    <w:pPr>
      <w:autoSpaceDE w:val="0"/>
      <w:autoSpaceDN w:val="0"/>
      <w:adjustRightInd w:val="0"/>
      <w:spacing w:after="0" w:line="240" w:lineRule="auto"/>
    </w:pPr>
    <w:rPr>
      <w:rFonts w:ascii="Arial" w:hAnsi="Arial" w:cs="Arial"/>
      <w:color w:val="000000"/>
      <w:sz w:val="24"/>
      <w:szCs w:val="24"/>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6A05CF"/>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6A05CF"/>
    <w:rPr>
      <w:sz w:val="20"/>
      <w:szCs w:val="20"/>
    </w:rPr>
  </w:style>
  <w:style w:type="paragraph" w:styleId="Textodeglobo">
    <w:name w:val="Balloon Text"/>
    <w:basedOn w:val="Normal"/>
    <w:link w:val="TextodegloboCar"/>
    <w:uiPriority w:val="99"/>
    <w:semiHidden/>
    <w:unhideWhenUsed/>
    <w:rsid w:val="00FC1A8C"/>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C1A8C"/>
    <w:rPr>
      <w:rFonts w:ascii="Segoe UI" w:eastAsia="Times New Roman" w:hAnsi="Segoe UI" w:cs="Segoe UI"/>
      <w:sz w:val="18"/>
      <w:szCs w:val="18"/>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monografias.com/trabajos14/verific-servicios/verific-servicios.shtml" TargetMode="External"/><Relationship Id="rId12" Type="http://schemas.openxmlformats.org/officeDocument/2006/relationships/hyperlink" Target="https://www.osfem.gob.mx/09_Iconografia/Cumplimiento/Aytto/Aytto_18.html"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6.jpg"/></Relationships>
</file>

<file path=word/_rels/header2.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42</Pages>
  <Words>10766</Words>
  <Characters>59215</Characters>
  <Application>Microsoft Office Word</Application>
  <DocSecurity>0</DocSecurity>
  <Lines>493</Lines>
  <Paragraphs>139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69842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3</cp:revision>
  <cp:lastPrinted>2019-01-31T01:30:00Z</cp:lastPrinted>
  <dcterms:created xsi:type="dcterms:W3CDTF">2019-02-11T21:19:00Z</dcterms:created>
  <dcterms:modified xsi:type="dcterms:W3CDTF">2019-02-12T02:31:00Z</dcterms:modified>
</cp:coreProperties>
</file>